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9" w:rsidRPr="00491065" w:rsidRDefault="00285FB9" w:rsidP="00EF170F">
      <w:pPr>
        <w:suppressAutoHyphens/>
        <w:spacing w:after="0" w:line="100" w:lineRule="atLeast"/>
        <w:ind w:left="6096" w:right="508" w:hanging="851"/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ЗАТВЕРДЖЕНО</w:t>
      </w:r>
    </w:p>
    <w:p w:rsidR="00285FB9" w:rsidRPr="00491065" w:rsidRDefault="00285FB9" w:rsidP="00491065">
      <w:pPr>
        <w:suppressAutoHyphens/>
        <w:spacing w:after="0" w:line="100" w:lineRule="atLeast"/>
        <w:ind w:left="6096" w:right="508" w:hanging="851"/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6096" w:right="508" w:hanging="851"/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 xml:space="preserve">Рішення обласної ради  </w:t>
      </w:r>
    </w:p>
    <w:p w:rsidR="00285FB9" w:rsidRPr="00491065" w:rsidRDefault="00285FB9" w:rsidP="00491065">
      <w:pPr>
        <w:suppressAutoHyphens/>
        <w:spacing w:after="0" w:line="100" w:lineRule="atLeast"/>
        <w:ind w:left="6096" w:right="508" w:hanging="851"/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від «___» ______2024 року № _______</w:t>
      </w:r>
    </w:p>
    <w:p w:rsidR="00285FB9" w:rsidRPr="00491065" w:rsidRDefault="00285FB9" w:rsidP="00491065">
      <w:pPr>
        <w:suppressAutoHyphens/>
        <w:spacing w:after="0" w:line="100" w:lineRule="atLeast"/>
        <w:ind w:left="6096" w:right="508" w:hanging="851"/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(_____сесія _____ скликання)</w:t>
      </w:r>
    </w:p>
    <w:p w:rsidR="00285FB9" w:rsidRPr="00491065" w:rsidRDefault="00285FB9" w:rsidP="00491065">
      <w:pPr>
        <w:suppressAutoHyphens/>
        <w:spacing w:after="0" w:line="100" w:lineRule="atLeast"/>
        <w:ind w:left="6096" w:hanging="851"/>
        <w:jc w:val="center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1"/>
        <w:jc w:val="center"/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</w:pPr>
      <w:r w:rsidRPr="00491065">
        <w:rPr>
          <w:rFonts w:ascii="Times New Roman" w:hAnsi="Times New Roman"/>
          <w:b/>
          <w:kern w:val="1"/>
          <w:sz w:val="40"/>
          <w:szCs w:val="40"/>
          <w:lang w:val="uk-UA" w:eastAsia="ar-SA"/>
        </w:rPr>
        <w:t>ОБЛАСНА</w:t>
      </w:r>
      <w:r w:rsidRPr="00491065">
        <w:rPr>
          <w:rFonts w:ascii="Times New Roman" w:hAnsi="Times New Roman"/>
          <w:b/>
          <w:kern w:val="1"/>
          <w:sz w:val="40"/>
          <w:szCs w:val="40"/>
          <w:lang w:val="ru-RU" w:eastAsia="ar-SA"/>
        </w:rPr>
        <w:t xml:space="preserve"> ПРОГРАМ</w:t>
      </w:r>
      <w:r w:rsidRPr="00491065">
        <w:rPr>
          <w:rFonts w:ascii="Times New Roman" w:hAnsi="Times New Roman"/>
          <w:b/>
          <w:kern w:val="1"/>
          <w:sz w:val="40"/>
          <w:szCs w:val="40"/>
          <w:lang w:val="uk-UA" w:eastAsia="ar-SA"/>
        </w:rPr>
        <w:t>А</w:t>
      </w:r>
      <w:r w:rsidRPr="00491065">
        <w:rPr>
          <w:rFonts w:ascii="Times New Roman" w:hAnsi="Times New Roman"/>
          <w:b/>
          <w:kern w:val="1"/>
          <w:sz w:val="40"/>
          <w:szCs w:val="40"/>
          <w:lang w:val="ru-RU" w:eastAsia="ar-SA"/>
        </w:rPr>
        <w:t xml:space="preserve"> </w:t>
      </w:r>
    </w:p>
    <w:p w:rsidR="00285FB9" w:rsidRPr="00491065" w:rsidRDefault="00285FB9" w:rsidP="00491065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  <w:t>РОЗВИТКУ ОСВІТИ</w:t>
      </w:r>
    </w:p>
    <w:p w:rsidR="00285FB9" w:rsidRPr="00491065" w:rsidRDefault="00285FB9" w:rsidP="00491065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  <w:t>«НЕЗЛАМНА ОСВІТА ХАРКІВЩИНИ»</w:t>
      </w:r>
    </w:p>
    <w:p w:rsidR="00285FB9" w:rsidRPr="00491065" w:rsidRDefault="00285FB9" w:rsidP="00491065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  <w:t>НА 2024</w:t>
      </w:r>
      <w:r w:rsidRPr="00491065">
        <w:rPr>
          <w:rFonts w:ascii="Times New Roman" w:hAnsi="Times New Roman"/>
          <w:b/>
          <w:bCs/>
          <w:kern w:val="1"/>
          <w:sz w:val="40"/>
          <w:szCs w:val="40"/>
          <w:lang w:val="ru-RU" w:eastAsia="ar-SA"/>
        </w:rPr>
        <w:t xml:space="preserve"> – </w:t>
      </w:r>
      <w:r w:rsidRPr="00491065">
        <w:rPr>
          <w:rFonts w:ascii="Times New Roman" w:hAnsi="Times New Roman"/>
          <w:b/>
          <w:bCs/>
          <w:kern w:val="1"/>
          <w:sz w:val="40"/>
          <w:szCs w:val="40"/>
          <w:lang w:val="uk-UA" w:eastAsia="ar-SA"/>
        </w:rPr>
        <w:t>2028 РОКИ</w:t>
      </w:r>
    </w:p>
    <w:p w:rsidR="00285FB9" w:rsidRPr="00491065" w:rsidRDefault="00285FB9" w:rsidP="00491065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м. Харків</w:t>
      </w: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2024 рік</w:t>
      </w:r>
    </w:p>
    <w:p w:rsidR="00285FB9" w:rsidRPr="00491065" w:rsidRDefault="00285FB9" w:rsidP="00491065">
      <w:pPr>
        <w:suppressAutoHyphens/>
        <w:spacing w:after="0" w:line="100" w:lineRule="atLeast"/>
        <w:ind w:left="1" w:hanging="3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rPr>
          <w:kern w:val="1"/>
          <w:lang w:val="ru-RU" w:eastAsia="ar-SA"/>
        </w:rPr>
        <w:sectPr w:rsidR="00285FB9" w:rsidRPr="00491065">
          <w:headerReference w:type="even" r:id="rId8"/>
          <w:headerReference w:type="default" r:id="rId9"/>
          <w:headerReference w:type="first" r:id="rId10"/>
          <w:pgSz w:w="11906" w:h="16838"/>
          <w:pgMar w:top="1021" w:right="709" w:bottom="1021" w:left="1134" w:header="709" w:footer="720" w:gutter="0"/>
          <w:cols w:space="720"/>
          <w:titlePg/>
          <w:docGrid w:linePitch="360" w:charSpace="-2049"/>
        </w:sectPr>
      </w:pPr>
    </w:p>
    <w:p w:rsidR="00285FB9" w:rsidRDefault="00285FB9" w:rsidP="00491065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>З М І С Т</w:t>
      </w:r>
    </w:p>
    <w:p w:rsidR="00E6364E" w:rsidRDefault="00E6364E" w:rsidP="00E6364E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Обласної програми розвитку освіти «Незламна освіти Харківщини»</w:t>
      </w:r>
    </w:p>
    <w:p w:rsidR="00E6364E" w:rsidRDefault="00E6364E" w:rsidP="00E6364E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На 2024 – 2028 роки (Програма)</w:t>
      </w:r>
    </w:p>
    <w:p w:rsidR="00E6364E" w:rsidRDefault="00E6364E" w:rsidP="00E6364E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E6364E" w:rsidRPr="00491065" w:rsidRDefault="00E6364E" w:rsidP="00491065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100"/>
      </w:tblGrid>
      <w:tr w:rsidR="00E6364E" w:rsidRPr="00586CED" w:rsidTr="00586CED">
        <w:tc>
          <w:tcPr>
            <w:tcW w:w="1951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РОЗДІЛ 1.</w:t>
            </w:r>
          </w:p>
        </w:tc>
        <w:tc>
          <w:tcPr>
            <w:tcW w:w="6804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Визначення проблем, на розв’язання яких </w:t>
            </w:r>
            <w:r w:rsidRPr="00586C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c</w:t>
            </w: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прямована </w:t>
            </w: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обласна</w:t>
            </w: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Програма розвитку освіти «Незламна освіта Харківщини» на 2024 – 2028 роки     </w:t>
            </w:r>
          </w:p>
          <w:p w:rsidR="00E6364E" w:rsidRPr="00586CED" w:rsidRDefault="00E6364E" w:rsidP="00586CE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                                                             </w:t>
            </w:r>
          </w:p>
        </w:tc>
        <w:tc>
          <w:tcPr>
            <w:tcW w:w="1100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3</w:t>
            </w:r>
          </w:p>
        </w:tc>
      </w:tr>
      <w:tr w:rsidR="00E6364E" w:rsidRPr="00586CED" w:rsidTr="00586CED">
        <w:tc>
          <w:tcPr>
            <w:tcW w:w="1951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РОЗДІЛ 2.</w:t>
            </w:r>
          </w:p>
        </w:tc>
        <w:tc>
          <w:tcPr>
            <w:tcW w:w="6804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Визначення мети обласної Програми розвитку освіти «Незламна освіта Харківщини» на 2024 – 2028 роки</w:t>
            </w:r>
          </w:p>
          <w:p w:rsidR="00E6364E" w:rsidRPr="00586CED" w:rsidRDefault="00E6364E" w:rsidP="00586CE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100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E6364E" w:rsidRPr="00586CED" w:rsidRDefault="00185D56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8</w:t>
            </w:r>
          </w:p>
        </w:tc>
      </w:tr>
      <w:tr w:rsidR="00E6364E" w:rsidRPr="00586CED" w:rsidTr="00586CED">
        <w:tc>
          <w:tcPr>
            <w:tcW w:w="1951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РОЗДІЛ 3.</w:t>
            </w:r>
          </w:p>
        </w:tc>
        <w:tc>
          <w:tcPr>
            <w:tcW w:w="6804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Напрями діяльності та заходи обласної Програми розвитку освіти «Незламна освіта Харківщини» на 2024 – 2028 роки, обсяги і джерела фінансування, строки та етапи виконання</w:t>
            </w:r>
          </w:p>
        </w:tc>
        <w:tc>
          <w:tcPr>
            <w:tcW w:w="1100" w:type="dxa"/>
            <w:shd w:val="clear" w:color="auto" w:fill="auto"/>
          </w:tcPr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E6364E" w:rsidRPr="00586CED" w:rsidRDefault="00E6364E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E6364E" w:rsidRPr="00586CED" w:rsidRDefault="00185D56" w:rsidP="00586C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586CE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10</w:t>
            </w:r>
          </w:p>
        </w:tc>
      </w:tr>
    </w:tbl>
    <w:p w:rsidR="00285FB9" w:rsidRPr="00491065" w:rsidRDefault="00285FB9" w:rsidP="00491065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AutoHyphens/>
        <w:ind w:left="709"/>
        <w:rPr>
          <w:rFonts w:ascii="Times New Roman" w:hAnsi="Times New Roman"/>
          <w:kern w:val="1"/>
          <w:sz w:val="24"/>
          <w:szCs w:val="24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ab/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ab/>
      </w:r>
    </w:p>
    <w:p w:rsidR="00285FB9" w:rsidRPr="00491065" w:rsidRDefault="00285FB9" w:rsidP="00491065">
      <w:pPr>
        <w:suppressAutoHyphens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285FB9" w:rsidRDefault="00285FB9" w:rsidP="00185D56">
      <w:pPr>
        <w:pageBreakBefore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lastRenderedPageBreak/>
        <w:t>РОЗДІЛ 1.</w:t>
      </w:r>
    </w:p>
    <w:p w:rsidR="00285FB9" w:rsidRPr="00E6364E" w:rsidRDefault="00285FB9" w:rsidP="00185D56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 xml:space="preserve">Визначення проблем, на розв’язання яких спрямована </w:t>
      </w:r>
      <w:r w:rsidR="00E6364E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 xml:space="preserve">обласна </w:t>
      </w: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Програма</w:t>
      </w:r>
      <w:r w:rsidR="00E6364E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 xml:space="preserve"> </w:t>
      </w:r>
      <w:r w:rsidR="00E6364E" w:rsidRPr="00E6364E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розвитку освіти «Незламна освіта Харк</w:t>
      </w:r>
      <w:r w:rsidR="00B5740F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 xml:space="preserve">івщини» на 2024 – 2028 роки </w:t>
      </w:r>
    </w:p>
    <w:p w:rsidR="00285FB9" w:rsidRPr="00491065" w:rsidRDefault="00285FB9" w:rsidP="00491065">
      <w:pPr>
        <w:suppressAutoHyphens/>
        <w:spacing w:after="0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Актуальність обласної Програми розвитку освіти «Незламна освіта Харківщини» на 2024 – 2028 роки обґрунтовується необхідністю реалізації державної політики в галузі освіти в сучасних умовах правового режиму воєнного стану та активних бойових дій, що тривають. Освіта була й залишається  тим, завдяки чому формується людина, її майбутнє, майбутнє України. Освіта у цей найскладніший для України час, в умовах дії правового режиму воєнного стану, війни, розв’язаної Російською Федерацією, проходить важке випробування.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Обласна Програма розвитку освіти «Незламна освіта Харківщини» на 2024 – 2028 роки розроблена на виконання вимог: </w:t>
      </w:r>
    </w:p>
    <w:p w:rsidR="00285FB9" w:rsidRPr="006D7AFB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Законів України: «Про правовий режим воєнного стану»; «Про освіту», «Про дошкільну освіту», «Про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повну загальну середню освіту»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, «Про позашкільну освіту», «Про професійну (професійно-технічну) освіту», «Про вищу освіту», «Про фахову передвищу освіту», «Про наукову і науково-технічну діяльність», «Про пріоритетні напрями інноваційної діяльності в Україні», «Про забезпечення організаційно-правових умов соціального захисту дітей-сиріт та дітей, позбавлених батьківського піклування», «Про основні принципи та вимоги до безпечності та якості харчових продуктів»; </w:t>
      </w:r>
    </w:p>
    <w:p w:rsidR="00285FB9" w:rsidRPr="006D7AFB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Указів Президента України: від 24 лютого 2022 року № 64/2022 «Про введення воєнного стану в Україні»; від 30 вересня 2010 року № 927/2010 «Про заходи щодо розвитку системи виявлення та підтримки обдарованих і талановитих дітей та молоді», від 29 червня 1995 року № 489/95 «Про Всеукраїнський конкурс «Учитель року», </w:t>
      </w:r>
      <w:hyperlink r:id="rId11" w:history="1">
        <w:r w:rsidRPr="006D7AFB">
          <w:rPr>
            <w:rFonts w:ascii="Times New Roman" w:hAnsi="Times New Roman"/>
            <w:kern w:val="1"/>
            <w:sz w:val="28"/>
            <w:szCs w:val="28"/>
            <w:lang w:val="uk-UA"/>
          </w:rPr>
          <w:t>від 13 грудня 2016 року № 533/2016 «Про заходи, спрямовані на забезпечення додержання прав осіб з інвалідністю</w:t>
        </w:r>
      </w:hyperlink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>»</w:t>
      </w:r>
      <w:r w:rsidRPr="002605A0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;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від 25 травня 2020 року № 195/2020 «Про Національну стратегію розбудови безпечного і здорового освітнього середовища у новій українській школі»; </w:t>
      </w:r>
    </w:p>
    <w:p w:rsidR="00285FB9" w:rsidRPr="00C955E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п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>останов Кабінету Міністрів України від 05 серпня 2020 року № 695 «Про затвердження Державної стратегії регіонального розвитк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 на 2021 – 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>2027 роки», від 15 вересня 2021 року № 957 «Про затвердження Порядку організації інклюзивного навчання у закладах загальної середньої освіти», від 21 лютого 2018 року №</w:t>
      </w:r>
      <w:r w:rsidRPr="006D7AFB">
        <w:rPr>
          <w:rFonts w:ascii="Times New Roman" w:hAnsi="Times New Roman"/>
          <w:kern w:val="1"/>
          <w:sz w:val="28"/>
          <w:szCs w:val="28"/>
          <w:lang w:val="ru-RU" w:eastAsia="ar-SA"/>
        </w:rPr>
        <w:t> 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87 «Про затвердження Державного стандарту початкової освіти», </w:t>
      </w:r>
      <w:hyperlink r:id="rId12" w:history="1">
        <w:r w:rsidRPr="006D7AFB">
          <w:rPr>
            <w:rFonts w:ascii="Times New Roman" w:hAnsi="Times New Roman"/>
            <w:kern w:val="1"/>
            <w:sz w:val="28"/>
            <w:szCs w:val="28"/>
            <w:lang w:val="uk-UA"/>
          </w:rPr>
          <w:t>від 21 серпня 2013 року № 607 «Про затвердження Державного стандарту початкової загальної освіти для дітей з особливими потребами</w:t>
        </w:r>
      </w:hyperlink>
      <w:r w:rsidR="00E6364E">
        <w:rPr>
          <w:rFonts w:ascii="Times New Roman" w:hAnsi="Times New Roman"/>
          <w:kern w:val="1"/>
          <w:sz w:val="28"/>
          <w:szCs w:val="28"/>
          <w:lang w:val="uk-UA" w:eastAsia="ar-SA"/>
        </w:rPr>
        <w:t>», від 23 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>листопада 2011 року № 1392 «Про затвердження Державного стандарту базової і повної загальної середньої освіти», від 24 березня 2021 року  № 305 «Про затвердження норм та Порядку організації харчування у закладах освіти та дитячих закладах оздоровлення та відпочинку», від 20 січня 2021 року № 31 «Про затвердження Порядку здійснення медичного обслуговування учнів закладів загальної середньої освіти», від 16 січня 2003 року № 31 «Про затвердження Державної цільової соціальної програми «Шкільний авто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бус», від 19 червня 2019 року № 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532 «Про затвердження Положення про опорний заклад 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>освіти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»</w:t>
      </w:r>
      <w:r w:rsidRPr="006D7AFB">
        <w:rPr>
          <w:rFonts w:ascii="Times New Roman" w:hAnsi="Times New Roman"/>
          <w:kern w:val="1"/>
          <w:sz w:val="28"/>
          <w:szCs w:val="28"/>
          <w:lang w:val="uk-UA" w:eastAsia="ar-SA"/>
        </w:rPr>
        <w:t>,</w:t>
      </w:r>
      <w:r w:rsidRPr="006D7AFB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від 22 серпня </w:t>
      </w:r>
      <w:r w:rsidRPr="00C955E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2018 року № 617 «Про деякі питання створення ресурсних центрів підтримки інклюзивної освіти та інклюзивно-ресурсних центрів»,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від 12 липня 2017 року № 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545 «Про затвердження Положення про інклюзивно-ресурсний центр»,</w:t>
      </w: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від 11 </w:t>
      </w:r>
      <w:r w:rsidRPr="00C955E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жовтня 2021 року № 1062 «Про затвердження Положення про ліцей»,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від </w:t>
      </w:r>
      <w:r w:rsidRPr="00C955E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11 серпня 1995 року № 638 «Про затвердження Положення про всеукраїнський конкурс «Учитель року»;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розпоряджень Кабінету Міністрів України від 13 грудня 2017 року № 903-р «Про зат</w:t>
      </w: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вердження плану заходів на 2017 – 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2029 роки із запровадження Концепції реалізації державної політики у сфері реформування загальної середньої освіти «Нова українська школа»,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від 05 серпня 2020 року № 960-р «Про схвалення Концепції розвитку природничо-математичної освіти (STEM-освіти)»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Стратегії розвитку Харківської області на 2021 – 2027 роки, </w:t>
      </w:r>
      <w:r w:rsidRPr="00077C81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схваленої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рішенням Харківської обласної ради від 27 лютого 2020 року № 1196-УІІ;</w:t>
      </w:r>
    </w:p>
    <w:p w:rsidR="00285FB9" w:rsidRPr="00C955E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Стратегії реформування системи шкільно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го харчування на період до 2027 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року, схваленої розпорядженням Кабінету Міністрів України від 27 жовтня 2023 року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№ 990-р;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наказів Міністерства освіти і науки України.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Мережа закладів освіти Харківської області у 2023/2024 навчальному році становить: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з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акладів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загальної середньої освіти: функціонують 698 закладів загальної середньої освіти, з них призупинили діяльність – 77. З них: закладів, що надають початкову освіту  – 11 (1,6% від загальної кількості, з них у міській місцевості – 9, у сільській місцевості – 2; закладів, що надають загальну середню освіту на рівні початкової та базової середньої освіти – 186 (26,7% від загальної кількості, з них у міській місцевості – 104, у сільській місцевості – 82); закладів, що надають повну загальну середню освіту – 501 (71,7% від загальної кількості, з них у міській місцевості – 313, у сільській місцевості – 188; опорних закладів освіти – 63 (9,2% від загальної кількості, з них у міській місцевості – 41, у сільській місцевості – 22). У закладах загальної середньої освіти навчається 223525 учнів. Із них у міській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місцевості – 195373 (87,4%); у сільській місцевості – 28152 (12,6%). Освітній процес забезпечують 19587 учителів.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На тимчасово окупованій території знаходиться 8 закладів загальної середньої освіти.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Закладів дошкільної освіти – 709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.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Закладів позашкільної освіти – 102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.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Закладів професійної (професійно-технічної) освіти – 24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Закладів фахової передвищої освіти – 43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.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Закладів вищої освіти – 23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.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</w:p>
    <w:p w:rsidR="00285FB9" w:rsidRPr="00077C81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077C81">
        <w:rPr>
          <w:rFonts w:ascii="Times New Roman" w:hAnsi="Times New Roman"/>
          <w:kern w:val="1"/>
          <w:sz w:val="28"/>
          <w:szCs w:val="28"/>
          <w:lang w:val="uk-UA" w:eastAsia="ar-SA"/>
        </w:rPr>
        <w:t>Через військову агресію рф від бомбов</w:t>
      </w:r>
      <w:r w:rsidR="00E6364E">
        <w:rPr>
          <w:rFonts w:ascii="Times New Roman" w:hAnsi="Times New Roman"/>
          <w:kern w:val="1"/>
          <w:sz w:val="28"/>
          <w:szCs w:val="28"/>
          <w:lang w:val="uk-UA" w:eastAsia="ar-SA"/>
        </w:rPr>
        <w:t>их ударів та обстрілів приміщення багатьох закладів освіти пошкоджені</w:t>
      </w:r>
      <w:r w:rsidR="00185D56">
        <w:rPr>
          <w:rFonts w:ascii="Times New Roman" w:hAnsi="Times New Roman"/>
          <w:kern w:val="1"/>
          <w:sz w:val="28"/>
          <w:szCs w:val="28"/>
          <w:lang w:val="uk-UA" w:eastAsia="ar-SA"/>
        </w:rPr>
        <w:t>, деякі –  зруйновані.</w:t>
      </w:r>
      <w:r w:rsidRPr="00077C81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077C81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 закладах освіти Харківської області наявні 125 захисних споруд (10 сховищ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та 115 протирадіаційних укриттів), з них: у закладах дошкільної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 xml:space="preserve">освіти – 17 од. (13% від загальної кількості споруд); в закладах загальної середньої освіти – 68 од. (55% від загальної кількості); в закладах професійної (професійно-технічної) освіти – 21 од. (16 % від загальної кількості захисних споруд); </w:t>
      </w: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у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закладах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фахової передвищої та в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ищої освіти – 19 од. (15,2% від 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загальної кількості захисних споруд). Нажаль, кількість укриттів, що відповідають вимогам законодавства, доволі мала. Проблемою, яка потребує розв’язання, є низький рівень безпеки закладів освіти та організації безпечного освітнього середовища.  </w:t>
      </w:r>
    </w:p>
    <w:p w:rsidR="00285FB9" w:rsidRPr="00C955E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Передбачені Програмою заходи сприятимуть вирішенню питання відновлення пошкоджених та зруйнованих у наслідок збройної агресії проти України закладів та установ освіти області, їх збереження та розвитку, безпечності та якості організації освітнього процесу, соціалізації його учасників, розвитку форм освіти з використанням технологій дистанційного навчання, корекційної та інклюзивної освіти, підтримки обдарованих і талановитих дітей та учнівської молоді, національно-патріотичному вихованню дітей, учнів, студентів,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стимулюванню педагогічної праці тощо.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Учні області систематично здобувають призові місця на </w:t>
      </w:r>
      <w:r w:rsidRPr="00C955E5">
        <w:rPr>
          <w:rFonts w:ascii="Times New Roman" w:hAnsi="Times New Roman"/>
          <w:kern w:val="1"/>
          <w:sz w:val="28"/>
          <w:szCs w:val="28"/>
          <w:lang w:val="ru-RU" w:eastAsia="ar-SA"/>
        </w:rPr>
        <w:t>IV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етапі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Міжнародного конкурсу з української мови імені Петра Яцика та Міжнародного мовно-літературного конкурсу учнівської та студентської молоді імені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Тараса Шевченка.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 2022/2023 навчальному році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за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дистанційн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ою формою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(онлайн), з дотриманням законодавства України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,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у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частині забезпечення заходів безпеки, пов'язаних із запровадженням правового режиму воєнного стану в Україні,</w:t>
      </w: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 xml:space="preserve">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у складних умовах воєнного часу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,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в Харківській області  проведено 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Всеукраїнські учнівські олімпіади із 19-ти навчальних предметів, а також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успішно організовано подання робіт та підготовку учасників Харківської області до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Всеукраїнського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конкурсу-захисту науково-дослідницьких робіт учнів-членів Малої академії наук України.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 змаганнях ІІ етапу олімпіад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брали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участь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12470 учнів, на обласному рівні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– 1553.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За результатами змагань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ІV етапу Всеукраїнських учнівських олімпіад з навчальних предметів</w:t>
      </w:r>
      <w:r w:rsidRPr="00491065"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нагороджено дипломами І-ІІІ ступенів 65 учнів м. Харкова та Харківської області. Це становить майже 70% від загальної кількості учасників: І міс</w:t>
      </w: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це – 8 учнів; ІІ місце – 22 учні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; ІІІ місце – 35</w:t>
      </w: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учнів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У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раховуючи наукові зацікавлення і творчі вподобання юних інтелектуалів, в Харківській обласній Малій академії наук науково-дослідницьку роботу організовано за науковими відділеннями, які охоплюють майже всі напрями природничих, фізико-математичних і технічних, гуманітарних і суспільних наук. Структура наукових відділень постійно вдосконалюється відповідно до останніх тенденцій розвитку вітчизняної і світової науки, орієнтуючись на структуру Національної академії наук України.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 ІІІ (фінальному)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етапі Всеукраїнського конкурсу-захисту науково-дослідницьких робіт учнів-членів </w:t>
      </w:r>
      <w:r w:rsidRPr="00610512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Малої академії науки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цього року команду області представили </w:t>
      </w:r>
      <w:r w:rsidRPr="00491065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62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учасники в 63 секціях. За результатами: 9 учасників нагороджені золотими медалями, 13 – срібними, 19 – бронзовими (усього – 41 переможець, що становить 66% від кількості учасників).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 xml:space="preserve">За кількістю перших місць команда Харківської області посіла І командне місце серед команд інших областей.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Такі результати в інтелектуальних змаганнях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підтверджують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не тільки високий рівень підготовки обдарованої молоді Харківщини, а й їхню неймовірну волю до перемоги.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Необхідно зберегти цей напрям роботи з обдарованими і талановитими дітьми та молоддю у Програмі, а також закріпити отримані результати.</w:t>
      </w:r>
    </w:p>
    <w:p w:rsidR="00285FB9" w:rsidRPr="00C955E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Учителі Харківської області а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ктивно долучаються до участі у В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сеукраїнському конкурсі «Учитель року», який об’єднує педагогічних працівників, відданих своїй справі, творчих, відкритих до нових знань, готових ділитися своїми надбаннями; сприяє самореалізації вчителів та поширенню передового педагогічного досвіду. </w:t>
      </w:r>
      <w:r w:rsidRPr="00491065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Участь у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конкурсі – це можливість проявити себе та підвищити свою професійну майстерність. Учитель предмета «Основи здоров’я»  Комунального закладу «Шелудьківський ліцей» Слобожанської селищної ради Чугуївського району Харківської област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і Олена Жадан стала переможцем В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сеукраїнського конкурсу «Учитель року – 2023» та посіла 3 місце.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Створення в закладах освіти області сучасного освітнього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середовища залежить від матеріально-технічного та фінансового забезпечення. Невідкладного вирішення потребу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ють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на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явні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у галузі проблемн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і питання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, а саме: вжиття заходів щодо модернізації матеріально-технічної бази закладів освіти, зокрема шляхом проведення капітальних ремонтів покрівель з використанням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енергозберігаючих матеріалів, у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провадження енергозберігаючих та енергоефективних технологій з метою створення належних умов для ефективної організації навчально-виховного процесу та безпечної життєдіяльності його учасників. Реалізація завдання Програми сприятиме створенню принципово нового, сучасного, модернізованого з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акладу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освіти,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 можливістю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гармонійного розвитку дітей, підвищ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ення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їх бажання та інтерес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у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до навчання.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Компетентнісний підхід в освіті, задекларований З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аконом України «Про освіту» та К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онцепцією реалізації державної політики у сфері реформування загальної середньої освіти «Нова українська школа» на період до 2029 року, потребує створення в закладах освіти освітнього сере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довища, яке б у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раховувало вимоги новітніх технологій викладання навчальних предметів – середовище Нової української школи. Особливо такі вимоги стосуються викладання предметів природничого циклу.</w:t>
      </w:r>
    </w:p>
    <w:p w:rsidR="00285FB9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Оснащення опорних закладів загальної середньої освіти та профільних ліцеїв області сучасними засобами навчання, у тому числі кабінетами фізики, хімії, біології, географії, математики, навчальними комп’ютерними комплексами з мультимедійними засобами навчання дозволить реалізовувати різні освітні програми, з урахуванням реальних особливостей закладів освіти та основних освітніх програм, різних робочих програм та навчально-методичних комплексів, напрямів позаурочної діяльності, а також інших потреб учасників освітнього процесу. Тобто впровадження забезпечення єдиних підходів і вимог до рівня надання освітніх послуг природничо-математичного напряму та рівних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умов</w:t>
      </w:r>
      <w:r w:rsidRPr="00491065">
        <w:rPr>
          <w:rFonts w:ascii="Times New Roman" w:hAnsi="Times New Roman"/>
          <w:color w:val="FF0000"/>
          <w:kern w:val="1"/>
          <w:sz w:val="28"/>
          <w:szCs w:val="28"/>
          <w:lang w:val="uk-UA" w:eastAsia="ar-SA"/>
        </w:rPr>
        <w:t xml:space="preserve">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здобуття освіти для всіх учнів. Також нагальним є забезпечення опорних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 xml:space="preserve">закладів загальної середньої освіти та профільних ліцеїв області сучасними технологіями, а саме впровадження в закладах освіти STEAM-лабораторій як універсального рішення для підготовки кваліфікованого випускника школи, оскільки за новою освітньою стратегією школа має спрямовувати дітей на освоєння важкого матеріалу за допомогою гри, пошуку рішень та винахідливості. STEAM-підхід змінює наш погляд на навчання та освіту, роблячи акцент на практичних здібностях, учні розвивають свою силу волі, творчий потенціал, гнучкість та вчаться співробітництву з іншими. Ці навички та знання і складають основну навчальну задачу. </w:t>
      </w:r>
    </w:p>
    <w:p w:rsidR="00285FB9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Одним із пріоритетів розвитку освітньої галузі є забезпечення шкільними автобусами опорних закладів загальної середньої освіти та профільних ліцеїв області для перевезення учнів та педагогічних працівників закладів загальної середньої освіти у сільській місцевості до місця навчання, роботи і додому, поліпшення освітнього рівня населення, що проживає у такій місцевості, та раціонального використання кадрового потенціалу закладів. Реалізація Програми сприятиме забезпеченню рівного доступу до якісної освіти, створенню належних умов для безпечного, регулярного і безоплатного перевезення учнів та педагогічних працівників, у тому числі з обмеженими фізичними можливостями на інвалідних візках. Розв’язання проблеми можливе шляхом придбання шкільних та спеціальних шкільних автобусів.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Значущість проблеми забезпечення протипожежного захисту об’єктів освіти полягає у необхідності реалізації державної політики у сфері пожежної та техногенної безпеки, яка відповідно до Кодексу цивільного захисту України є невід’ємною частиною державної діяльності щодо охорони життя та здоров’я людей, національного багатства і навколишнього природного середовища.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У зв’язку з тим, що проблема пожежної та техногенної безпеки є складовою частиною національної безпеки, вона потребує здійснення першочергових заходів, на виконання яких також спрямована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ця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Програма. Розв’язання проблеми забезпечення пожежної та техногенної безпеки полягає у комплексному, поетапному вирішенні проблемних питань у сфері пожежної та техногенної безпеки, гарантованого захисту суспільства та навколишнього природного середовища від пожеж та їх наслідків, упровадження організаційних засад функціонування системи забезпечення пожежної та техногенної безпеки, зміцнення правової, науково-технічної і ресурсної бази,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дозволить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суттєво зменшити кількість пожеж та надзвичайних ситуацій. У результаті реалізації заходів планується досягти практичного покращення протипожежного забезпечення об’єктів освіти.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Одним із пріоритетних напрям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ів роботи галузі освіти на сьогодні є охоплення освітніми послугами дітей з особливими освітніми потребами, реалізація державної політики соціального захисту дітей з інвалідністю та виконання основних завдань Концепції розвитку інклюзивного навчання України. У Харківській області забезпечено своєчасне отримання освітніх послуг для дітей з особливими освітніми потребами, у тому числі і для дітей з інвалідністю, шляхом розширення мережі закладів освіти з інклюзивним навчанням.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 xml:space="preserve">Освітній процес у закладах освіти у зв'язку із збройною агресією Російської Федерації проти України, що продовжується вже майже два роки, а також негативна безпекова ситуація в Харківській області як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прифронтовому регіоні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вимагає організації безпечного навчання в школах, зокрема дистанційного навчання з використанням цифрових технологій. Дистанційна форма навчання передбачає доступ до інтернету, технічне забезпечення (комп’ютер, планшет, смартфон тощо) в усіх учасників освітнього процесу, а також те, що вчителі володіють технологіями дистанційного навчання. Разом із світовою освітянською спільнотою педагоги Харківщини зіштовхнулись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з окремими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проблем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ами, пов’язаними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із переходом на дистанційне навчання. Серед них – цифрова нерівність, неоднакові можливості закладів освіти, загальна матеріально-технічна та психолого-педагогічна непідготовленість учасників освітнього процесу до дистанційної освіти, що веде до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зниження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рівня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знань,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їх соціалізованості і загальної готовності до продуктивного майбутнього.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>З метою вирішення зазначених питань вжиті відповідні заходи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, а саме: навчання педагогів області дистанційним технологіям; забезпечення комп’ютерною технікою учасників освітнього процесу; сприяння налагодженню якісного інтернет-зв’язку.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Обласна Програма розвитку освіти «Незламна освіта Харківщини» на </w:t>
      </w:r>
      <w:bookmarkStart w:id="0" w:name="_GoBack"/>
      <w:bookmarkEnd w:id="0"/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2024 – 2028 роки спрямована на розв’язання проблем, які неможливо вирішити у процесі поточної роботи, та які існують в системі освіти Харківщини, адже освітня галузь є важливою сферою соціально-економічного, культурного, духовного розвитку сіл, селищ та міст області.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285FB9" w:rsidRPr="00491065" w:rsidRDefault="00285FB9" w:rsidP="003F3D87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РОЗДІЛ 2</w:t>
      </w: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.</w:t>
      </w:r>
    </w:p>
    <w:p w:rsidR="00285FB9" w:rsidRDefault="00285FB9" w:rsidP="00185D5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 xml:space="preserve">Визначення мети </w:t>
      </w:r>
      <w:r w:rsidR="00185D56" w:rsidRPr="00185D56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обласної Програми розвитку освіти «Незламна освіта Харківщини» на 2024 – 2028 роки</w:t>
      </w:r>
    </w:p>
    <w:p w:rsidR="00185D56" w:rsidRPr="00491065" w:rsidRDefault="00185D56" w:rsidP="00185D5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Метою обласної Програми розвитку освіти «Незламна освіта Харківщини» на 2024 – 2028 роки є: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забезпечення конституційного права громадян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на рівний доступ 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до якісної освіти;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збереження закладів освіти та освітньої системи Харківщини під час війни в Україні,  </w:t>
      </w:r>
      <w:r>
        <w:rPr>
          <w:rFonts w:ascii="Times New Roman" w:hAnsi="Times New Roman"/>
          <w:kern w:val="1"/>
          <w:sz w:val="28"/>
          <w:szCs w:val="28"/>
          <w:lang w:val="uk-UA" w:eastAsia="ar-SA"/>
        </w:rPr>
        <w:t>створення безпечних умов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, підвищення якості, що відповідає актуальним і перспективним запитам особистості, суспільства, держави, міжнародним критеріям;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створення в області сприятливих умов для виявлення, розвитку і підтримки обдарованої молоді та дітей, їх творчої реалізації та розширення наукового світогляду;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виявлення талановитих педагогічних працівників, які впроваджують власні педагогічні ідеї та успішно реалізують сучасні освітні практики; підвищення престижності професії вчителя в суспільстві; поширення кращого педагогічного досвіду;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створення умов для ефективного науково-методичного забезпечення регіонального компоненту освіти в Харківській області;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lastRenderedPageBreak/>
        <w:t xml:space="preserve">удосконалення планування та супроводу фінансово-господарської  діяльності, матеріально-технічного та методичного забезпечення, контролю дотримання безпечних умов організації навчально-виховного процесу в закладах і установах освіти, що перебувають у спільній власності територіальних громад сіл, селищ, міст області, а також закладах і установах освітньої галузі в цілому;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модернізація матеріально-технічної бази навчальних закладів з метою належної експлуатації будівель;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створення в опорних закладах освіти сучасного освітнього середовища, яке забезпечить упровадження новітніх технологій викладання навчальних предметів, забезпечення доступності, якості та відкритості освіти, формування в учнів навичок дослідницької роботи;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комплектація опорних закладів освіти та профільних ліцеїв шкільними автобусами для організації належного рівня безоплатного підвезення учнів до місць навчання та додому;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реалізація реформи шкільного харчування, модернізація харчоблоків та їдалень </w:t>
      </w:r>
      <w:r w:rsidRPr="00C955E5">
        <w:rPr>
          <w:rFonts w:ascii="Times New Roman" w:hAnsi="Times New Roman"/>
          <w:kern w:val="1"/>
          <w:sz w:val="28"/>
          <w:szCs w:val="28"/>
          <w:lang w:val="uk-UA" w:eastAsia="ar-SA"/>
        </w:rPr>
        <w:t>закладів</w:t>
      </w: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освіти, запровадження принципів здорового харчування;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підтримка діяльності сучасних закладів освіти з інклюзивним навчанням;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виявлення новітніх педагогічних ідей, які успішно реалізуються у сучасній інклюзивній практиці;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підвищення престижності професії вчителя закладу освіти з інклюзивним навчанням; 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поширення кращого педагогічного досвіду інклюзивного закладу освіти; виявлення кращих практик інклюзивного навчання та виховання;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розвиток методичного забезпечення закладів освіти з урахуванням специфіки сучасних педагогічних технологій;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підвищення фахової та педагогічної компетентностей освітян області в дистанційному режимі шляхом їх залучення до програм підвищення кваліфікації відповідно до їх потреб;</w:t>
      </w:r>
    </w:p>
    <w:p w:rsidR="00285FB9" w:rsidRPr="00491065" w:rsidRDefault="00285FB9" w:rsidP="006A4DF3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91065">
        <w:rPr>
          <w:rFonts w:ascii="Times New Roman" w:hAnsi="Times New Roman"/>
          <w:kern w:val="1"/>
          <w:sz w:val="28"/>
          <w:szCs w:val="28"/>
          <w:lang w:val="uk-UA" w:eastAsia="ar-SA"/>
        </w:rPr>
        <w:t>розширення доступності якісної освіти шляхом створення потужної бази методичних та дидактичних матеріалів для дистанційного навчання.</w:t>
      </w:r>
    </w:p>
    <w:p w:rsidR="00285FB9" w:rsidRPr="00491065" w:rsidRDefault="00285FB9" w:rsidP="00491065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285FB9" w:rsidRPr="00491065" w:rsidRDefault="00285FB9" w:rsidP="00491065">
      <w:pPr>
        <w:suppressLineNumbers/>
        <w:tabs>
          <w:tab w:val="center" w:pos="4677"/>
          <w:tab w:val="right" w:pos="9355"/>
        </w:tabs>
        <w:suppressAutoHyphens/>
        <w:rPr>
          <w:kern w:val="1"/>
          <w:sz w:val="20"/>
          <w:szCs w:val="20"/>
          <w:lang w:val="ru-RU" w:eastAsia="ar-SA"/>
        </w:rPr>
      </w:pPr>
    </w:p>
    <w:p w:rsidR="00285FB9" w:rsidRPr="00491065" w:rsidRDefault="00285FB9" w:rsidP="00491065">
      <w:pPr>
        <w:suppressAutoHyphens/>
        <w:rPr>
          <w:kern w:val="1"/>
          <w:lang w:val="ru-RU" w:eastAsia="ar-SA"/>
        </w:rPr>
        <w:sectPr w:rsidR="00285FB9" w:rsidRPr="00491065" w:rsidSect="007C70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84" w:right="566" w:bottom="1021" w:left="1701" w:header="279" w:footer="720" w:gutter="0"/>
          <w:cols w:space="720"/>
          <w:docGrid w:linePitch="360" w:charSpace="-2049"/>
        </w:sectPr>
      </w:pPr>
    </w:p>
    <w:p w:rsidR="00285FB9" w:rsidRPr="00491065" w:rsidRDefault="00285FB9" w:rsidP="00B5025F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lastRenderedPageBreak/>
        <w:t>РОЗДІЛ 3</w:t>
      </w:r>
      <w:r w:rsidRPr="00491065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.</w:t>
      </w:r>
    </w:p>
    <w:p w:rsidR="00285FB9" w:rsidRPr="003D07E2" w:rsidRDefault="00285FB9" w:rsidP="001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07E2">
        <w:rPr>
          <w:rFonts w:ascii="Times New Roman" w:hAnsi="Times New Roman"/>
          <w:b/>
          <w:sz w:val="24"/>
          <w:szCs w:val="24"/>
          <w:lang w:val="uk-UA"/>
        </w:rPr>
        <w:t>Напрями діяльності та заходи обласної Програми роз</w:t>
      </w:r>
      <w:r>
        <w:rPr>
          <w:rFonts w:ascii="Times New Roman" w:hAnsi="Times New Roman"/>
          <w:b/>
          <w:sz w:val="24"/>
          <w:szCs w:val="24"/>
          <w:lang w:val="uk-UA"/>
        </w:rPr>
        <w:t>витку освіти «</w:t>
      </w:r>
      <w:r w:rsidR="00185D56">
        <w:rPr>
          <w:rFonts w:ascii="Times New Roman" w:hAnsi="Times New Roman"/>
          <w:b/>
          <w:sz w:val="24"/>
          <w:szCs w:val="24"/>
          <w:lang w:val="uk-UA"/>
        </w:rPr>
        <w:t>Незламна о</w:t>
      </w:r>
      <w:r>
        <w:rPr>
          <w:rFonts w:ascii="Times New Roman" w:hAnsi="Times New Roman"/>
          <w:b/>
          <w:sz w:val="24"/>
          <w:szCs w:val="24"/>
          <w:lang w:val="uk-UA"/>
        </w:rPr>
        <w:t>світа Харківщини</w:t>
      </w:r>
      <w:r w:rsidRPr="003D07E2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285FB9" w:rsidRDefault="00285FB9" w:rsidP="001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07E2">
        <w:rPr>
          <w:rFonts w:ascii="Times New Roman" w:hAnsi="Times New Roman"/>
          <w:b/>
          <w:sz w:val="24"/>
          <w:szCs w:val="24"/>
          <w:lang w:val="uk-UA"/>
        </w:rPr>
        <w:t>на 2024 – 2028 роки, обсяги і джерела фінансування, строки та етапи виконання</w:t>
      </w:r>
    </w:p>
    <w:p w:rsidR="00185D56" w:rsidRPr="003D07E2" w:rsidRDefault="00185D56" w:rsidP="001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18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"/>
        <w:gridCol w:w="2161"/>
        <w:gridCol w:w="2151"/>
        <w:gridCol w:w="9"/>
        <w:gridCol w:w="1074"/>
        <w:gridCol w:w="9"/>
        <w:gridCol w:w="1978"/>
        <w:gridCol w:w="1441"/>
        <w:gridCol w:w="900"/>
        <w:gridCol w:w="900"/>
        <w:gridCol w:w="900"/>
        <w:gridCol w:w="900"/>
        <w:gridCol w:w="900"/>
        <w:gridCol w:w="1499"/>
      </w:tblGrid>
      <w:tr w:rsidR="00285FB9" w:rsidRPr="00B5740F" w:rsidTr="005629D6">
        <w:trPr>
          <w:trHeight w:val="471"/>
        </w:trPr>
        <w:tc>
          <w:tcPr>
            <w:tcW w:w="15188" w:type="dxa"/>
            <w:gridSpan w:val="14"/>
          </w:tcPr>
          <w:p w:rsidR="00285FB9" w:rsidRPr="00173CCE" w:rsidRDefault="00285FB9" w:rsidP="00BD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Напрям 1. Підтримка роботи з обдарованими і талановитими дітьми та молоддю</w:t>
            </w:r>
          </w:p>
        </w:tc>
      </w:tr>
      <w:tr w:rsidR="00285FB9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tblHeader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B9" w:rsidRPr="00173CCE" w:rsidRDefault="00285FB9" w:rsidP="00220079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Орієнтовні обсяги фінансування (вартість) (тис. грн.)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 Очікуваний результат</w:t>
            </w:r>
          </w:p>
        </w:tc>
      </w:tr>
      <w:tr w:rsidR="00285FB9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40"/>
          <w:tblHeader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B9" w:rsidRPr="00173CCE" w:rsidRDefault="00285FB9" w:rsidP="00C30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2028</w:t>
            </w:r>
          </w:p>
        </w:tc>
        <w:tc>
          <w:tcPr>
            <w:tcW w:w="149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C3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63"/>
          <w:tblHeader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992FA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992FA1">
            <w:pPr>
              <w:spacing w:after="0" w:line="100" w:lineRule="atLeast"/>
              <w:ind w:left="5" w:right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992FA1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285FB9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531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537EC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учасників Всеукраїнських учнівських олімпіад з навчальних предметів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537EC4">
            <w:pPr>
              <w:spacing w:after="0" w:line="100" w:lineRule="atLeast"/>
              <w:ind w:left="5" w:right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Оплата лектури для забезпечення навчально-виховного процесу, організація харчування та культурно-масової роботи, забезпечення діяльності сайту з висвітлення роботи під час проведення навчально-тренувальних зборів з питань підготовки учасників Всеукраїнських учнівських олімпіад з навчальних предметів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62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:rsidR="00285FB9" w:rsidRPr="00173CCE" w:rsidRDefault="00285FB9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:rsidR="00285FB9" w:rsidRPr="00173CCE" w:rsidRDefault="00285FB9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адміністрації,</w:t>
            </w:r>
          </w:p>
          <w:p w:rsidR="00285FB9" w:rsidRPr="00173CCE" w:rsidRDefault="00285FB9" w:rsidP="0053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Default="00864783" w:rsidP="00623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</w:t>
            </w:r>
            <w:r w:rsidR="00285FB9"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бласний</w:t>
            </w:r>
            <w:r w:rsidR="0022007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бюджет</w:t>
            </w:r>
          </w:p>
          <w:p w:rsidR="00864783" w:rsidRDefault="00864783" w:rsidP="00623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864783" w:rsidRPr="00864783" w:rsidRDefault="00864783" w:rsidP="00623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6478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25835,9</w:t>
            </w:r>
          </w:p>
          <w:p w:rsidR="00285FB9" w:rsidRPr="00173CCE" w:rsidRDefault="00285FB9" w:rsidP="0062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85D56" w:rsidRDefault="00864783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3471,8</w:t>
            </w:r>
          </w:p>
          <w:p w:rsidR="00185D56" w:rsidRPr="00173CCE" w:rsidRDefault="00185D56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85D56" w:rsidRDefault="00864783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85D56" w:rsidRDefault="00864783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4999,4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864783" w:rsidRDefault="00864783" w:rsidP="00185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5999,3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864783" w:rsidRDefault="00864783" w:rsidP="00864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64783">
              <w:rPr>
                <w:rFonts w:ascii="Times New Roman" w:hAnsi="Times New Roman"/>
                <w:sz w:val="20"/>
                <w:szCs w:val="20"/>
                <w:lang w:val="ru-RU"/>
              </w:rPr>
              <w:t>7199,2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285FB9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32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537EC4">
            <w:pPr>
              <w:spacing w:after="0" w:line="100" w:lineRule="atLeast"/>
              <w:ind w:right="1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учасників Всеукраїнських учнівських олімпіад з навчальних предметів на базі КЗ «Харківський науковий ліцей “Обдарованість”» Харківської обласної ради</w:t>
            </w:r>
          </w:p>
          <w:p w:rsidR="00285FB9" w:rsidRPr="00173CCE" w:rsidRDefault="00285FB9" w:rsidP="00537EC4">
            <w:pPr>
              <w:spacing w:after="0" w:line="100" w:lineRule="atLeast"/>
              <w:ind w:right="1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537EC4">
            <w:pPr>
              <w:spacing w:after="0" w:line="100" w:lineRule="atLeast"/>
              <w:ind w:hanging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підвезення та супроводу учнів до місця проведення навчально-тренувальних зборів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537EC4">
            <w:pPr>
              <w:spacing w:after="0" w:line="100" w:lineRule="atLeast"/>
              <w:ind w:hanging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:rsidR="00285FB9" w:rsidRPr="00173CCE" w:rsidRDefault="00285FB9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:rsidR="00285FB9" w:rsidRDefault="00285FB9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</w:t>
            </w:r>
            <w:r w:rsidR="00864783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864783" w:rsidRDefault="00864783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</w:p>
          <w:p w:rsidR="00864783" w:rsidRPr="00173CCE" w:rsidRDefault="00864783" w:rsidP="00537EC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Default="00220079" w:rsidP="0053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</w:t>
            </w:r>
            <w:r w:rsidR="00285FB9"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бласний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бюджет</w:t>
            </w:r>
          </w:p>
          <w:p w:rsidR="00220079" w:rsidRDefault="00220079" w:rsidP="0053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220079" w:rsidRPr="00220079" w:rsidRDefault="00220079" w:rsidP="0053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20079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500,0</w:t>
            </w:r>
          </w:p>
          <w:p w:rsidR="00285FB9" w:rsidRPr="00173CCE" w:rsidRDefault="00285FB9" w:rsidP="0053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220079" w:rsidRDefault="00220079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2007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220079" w:rsidRDefault="00220079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2007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220079" w:rsidRDefault="00220079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2007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220079" w:rsidRDefault="00220079" w:rsidP="0086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2007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220079" w:rsidRDefault="00220079" w:rsidP="00220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2007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285FB9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586A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учасників І, ІІ та ІІІ етапів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Оплата лектури для забезпечення навчально-виховного процесу, організація харчування, проживання, організація культурно-масової роботи, екскурсійного обслуговування,  забезпечення практичних занять учасників (канцтовари, аудіовізуальне обладнання, пристрої введення даних), підвезення, оплата відряджень під час проведення навчально-тренувальних зборів учасників І, ІІ та ІІІ етапів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586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:rsidR="00285FB9" w:rsidRPr="00173CCE" w:rsidRDefault="00285FB9" w:rsidP="00586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:rsidR="00285FB9" w:rsidRPr="00173CCE" w:rsidRDefault="00285FB9" w:rsidP="00586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</w:t>
            </w:r>
            <w:r w:rsidR="004D1627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285FB9" w:rsidRPr="00173CCE" w:rsidRDefault="00285FB9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Default="00E16756" w:rsidP="00586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</w:t>
            </w:r>
            <w:r w:rsidR="00285FB9"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бласний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бюджет</w:t>
            </w:r>
          </w:p>
          <w:p w:rsidR="00E16756" w:rsidRDefault="00E16756" w:rsidP="00586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E16756" w:rsidRPr="00E16756" w:rsidRDefault="00E16756" w:rsidP="00586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1675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7120,7</w:t>
            </w:r>
          </w:p>
          <w:p w:rsidR="00285FB9" w:rsidRPr="00173CCE" w:rsidRDefault="00285FB9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4D1627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4D1627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4D1627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1377,9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4D1627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4D1627" w:rsidP="00E1675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1984,2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586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285FB9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5FB9" w:rsidRPr="00173CCE" w:rsidRDefault="00285FB9" w:rsidP="00AA2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1.4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D26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Виявлення обдарованих і талановитих дітей та молоді та створення умов для їх розвитку</w:t>
            </w:r>
          </w:p>
          <w:p w:rsidR="00285FB9" w:rsidRPr="00173CCE" w:rsidRDefault="00285FB9" w:rsidP="004324B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C371C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1.4.1. Забезпечення адресної підтримки обдарованих і талановитих дітей та молоді, зокрема шляхом виплати  грошових винагород переможцям І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V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етапу Всеукраїнських учнівських олімпіад з навчальних предметів, переможцям ІІІ етапу Всеукраїнського конкурсу-захисту науково-дослідницьких робіт учнів-членів Малої академії наук України та матеріального заохочення педагогічних та науково-педагогічних працівників, які їх підготували</w:t>
            </w:r>
          </w:p>
          <w:p w:rsidR="00285FB9" w:rsidRPr="00173CCE" w:rsidRDefault="00285FB9" w:rsidP="00C371C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5E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Департамент науки і освіти</w:t>
            </w:r>
          </w:p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Харківської обласної</w:t>
            </w:r>
          </w:p>
          <w:p w:rsidR="00285FB9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державної (військової) адміністрації</w:t>
            </w:r>
            <w:r w:rsidR="00DF2EEB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DF2EEB" w:rsidRPr="00173CCE" w:rsidRDefault="00DF2EEB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</w:p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</w:p>
          <w:p w:rsidR="00285FB9" w:rsidRPr="00173CCE" w:rsidRDefault="00285FB9" w:rsidP="00D2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C33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Обласний</w:t>
            </w:r>
          </w:p>
          <w:p w:rsidR="00285FB9" w:rsidRPr="00173CCE" w:rsidRDefault="00285FB9" w:rsidP="00C33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285FB9" w:rsidRPr="00173CCE" w:rsidRDefault="00FA6D0B" w:rsidP="00C3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17</w:t>
            </w:r>
            <w:r w:rsidR="00285FB9"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39,2</w:t>
            </w:r>
          </w:p>
          <w:p w:rsidR="00285FB9" w:rsidRPr="00173CCE" w:rsidRDefault="00285FB9" w:rsidP="00D2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FA6D0B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</w:t>
            </w:r>
            <w:r w:rsidR="00285FB9"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36,8</w:t>
            </w:r>
          </w:p>
          <w:p w:rsidR="00285FB9" w:rsidRPr="00173CCE" w:rsidRDefault="00285FB9" w:rsidP="00432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343,1</w:t>
            </w:r>
          </w:p>
          <w:p w:rsidR="00285FB9" w:rsidRPr="00173CCE" w:rsidRDefault="00285FB9" w:rsidP="00D26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353,1</w:t>
            </w:r>
          </w:p>
          <w:p w:rsidR="00285FB9" w:rsidRPr="00173CCE" w:rsidRDefault="00285FB9" w:rsidP="00D26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353,1</w:t>
            </w:r>
          </w:p>
          <w:p w:rsidR="00285FB9" w:rsidRPr="00173CCE" w:rsidRDefault="00285FB9" w:rsidP="00D26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3377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353,1</w:t>
            </w:r>
          </w:p>
          <w:p w:rsidR="00285FB9" w:rsidRPr="00173CCE" w:rsidRDefault="00285FB9" w:rsidP="00D262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C3377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всебічного розвитку обдарованої учнівської молоді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1.4.2. Забезпечення адресної підтримки обдарованих і талановитих дітей та молоді, зокрема шляхом виплати  грошових винагород переможцям фінального етапу Всеукраїнських турнірів з навчальних предметів, а також забезпечення матеріального заохочення керівників команд, які підготували цих переможців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</w:t>
            </w:r>
            <w:r w:rsidR="00DF2EEB">
              <w:rPr>
                <w:rFonts w:ascii="Times New Roman" w:hAnsi="Times New Roman"/>
                <w:sz w:val="20"/>
                <w:szCs w:val="20"/>
                <w:lang w:val="uk-UA"/>
              </w:rPr>
              <w:t>йськової) адміністрації,</w:t>
            </w:r>
          </w:p>
          <w:p w:rsidR="00DF2EEB" w:rsidRPr="00173CCE" w:rsidRDefault="00DF2EEB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76F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талановитої та обдарованої учнівської молоді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352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фінального етапу Всеукраїнських турнірів з навчальних предметів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Оплата організаційного внеску та відшкодування вартості проїзду учасникам фінального етапу Всеукраїнських турнірів з навчальних предметів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</w:t>
            </w:r>
            <w:r w:rsidR="00DF2EEB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DF2EEB" w:rsidRPr="00173CCE" w:rsidRDefault="00DF2EEB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C2123F" w:rsidRDefault="00C2123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2123F" w:rsidRPr="00C2123F" w:rsidRDefault="00C2123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2123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  <w:r w:rsidRPr="00C2123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C2123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C2123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C2123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C2123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C2123F" w:rsidP="00DF2EE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Підтримка талановитої та обдарованої учнівської молоді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1.6.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Стимулювання учнів та молоді до участі  в обласних, всеукраїнських масових заходах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F2F" w:rsidRPr="00173CCE" w:rsidRDefault="00476F2F" w:rsidP="00476F2F">
            <w:pPr>
              <w:tabs>
                <w:tab w:val="left" w:pos="633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1.6.1. Відзначення цінними подарунками учнів і студентів закладів освіти – переможців творчих конкурсів:</w:t>
            </w:r>
          </w:p>
          <w:p w:rsidR="00476F2F" w:rsidRPr="00173CCE" w:rsidRDefault="00476F2F" w:rsidP="00476F2F">
            <w:pPr>
              <w:pStyle w:val="1"/>
              <w:spacing w:after="0"/>
              <w:ind w:hanging="2"/>
              <w:jc w:val="center"/>
              <w:rPr>
                <w:sz w:val="20"/>
                <w:szCs w:val="20"/>
                <w:lang w:val="uk-UA"/>
              </w:rPr>
            </w:pPr>
            <w:r w:rsidRPr="00173CCE">
              <w:rPr>
                <w:sz w:val="20"/>
                <w:szCs w:val="20"/>
                <w:lang w:val="uk-UA"/>
              </w:rPr>
              <w:t>- Міжнародного мовно-літературного конкурсу учнівської та студентської молоді імені Тараса Шевченка;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-  Всеукраїнського конкурсу учнівської творчості «Об’єднаймося, брати мої!» у номінаціях «Література» та «Історія України та державотворення»;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- обласного фестивалю ораторського мистецтва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BA" w:rsidRDefault="00476F2F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  <w:r w:rsidR="002955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677,9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125,6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131,7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140,2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140,2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140,2</w:t>
            </w:r>
          </w:p>
          <w:p w:rsidR="00476F2F" w:rsidRPr="00173CCE" w:rsidRDefault="00476F2F" w:rsidP="0047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Стимулювання учнів і студентів до участі у творчих конкурсах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1.6.2. Забезпечення адресної підтримки випускників ЗЗСО, що отримали 200 балів при проходженні зовнішнього незалежного оцінювання навчальних досягнень / національного мультипредметного тесту, зокрема шляхом виплати грошових винагород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</w:t>
            </w:r>
            <w:r w:rsidR="002955BA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2955BA" w:rsidRPr="00173CCE" w:rsidRDefault="002955BA" w:rsidP="002955B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7A1431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209,2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223,9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223,9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223,9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рівня навчальних досягнень учнів закладів загальної середньої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1.6.3. Призначення та виплата обласних стипендій і персональних стипендій імені О.С. Масельського студентам закладів вищої освіти та закладів фахової передвищої освіти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  облас-ної державної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:rsidR="007A1431" w:rsidRPr="00173CCE" w:rsidRDefault="007A1431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вищої освіти,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фахової передвищої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Створення системи підтримки обдарованої молоді, відзначення студентів за досягнення  в науковій та навчальній роботі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Заходи серед учнів закладів професійної (професійно-технічної) освіти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та проведення регіональних етапів Всеукраїнських конкурсів фахової майстерності серед учнів закладів професійної (професійно-технічної) освіти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адміністрації,</w:t>
            </w:r>
          </w:p>
          <w:p w:rsidR="007A1431" w:rsidRDefault="007A1431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адміністрації,</w:t>
            </w:r>
          </w:p>
          <w:p w:rsidR="007A1431" w:rsidRPr="00173CCE" w:rsidRDefault="007A1431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Науково-методичний центр професійно-технічної освіти у Харківській області,</w:t>
            </w:r>
          </w:p>
          <w:p w:rsidR="00476F2F" w:rsidRPr="00173CCE" w:rsidRDefault="00476F2F" w:rsidP="007A143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професійної (професійно-технічної)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Підвищення рівня фахової майстерності здобувачів освіти  професійної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(професійно-технічної)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1.8.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Удосконалення фізкультурно-оздоровчої та спортивно-масової роботи з учнівською і студентською молоддю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0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спортивно-масових заходів для учнівської та студентської молоді за програмою обласних спортивних змагань «Спорт протягом життя»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EC323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адміністрації,</w:t>
            </w:r>
          </w:p>
          <w:p w:rsidR="009F0BC5" w:rsidRPr="00173CCE" w:rsidRDefault="009F0BC5" w:rsidP="009F0BC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91227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Харківське обласне відділення (філія) комітету з фізичного виховання та спорту Міністерства освіти і науки України,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загальної середньої, професійної (пр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фесійно-технічної)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Удосконалення спортивно-масової роботи з учнівською та студентською молоддю</w:t>
            </w: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1.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5A5EC3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41126,6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Бюджети територіальних громад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5A5EC3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6025,7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5A5EC3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6932,2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5A5EC3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8028,9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5A5EC3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9304,6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5A5EC3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10835,2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70"/>
        </w:trPr>
        <w:tc>
          <w:tcPr>
            <w:tcW w:w="15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36" w:rsidRDefault="00EC3236" w:rsidP="00476F2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</w:pPr>
          </w:p>
          <w:p w:rsidR="00476F2F" w:rsidRPr="00173CCE" w:rsidRDefault="00476F2F" w:rsidP="00476F2F">
            <w:pPr>
              <w:suppressAutoHyphens/>
              <w:spacing w:after="0" w:line="100" w:lineRule="atLeast"/>
              <w:jc w:val="center"/>
              <w:rPr>
                <w:kern w:val="1"/>
                <w:sz w:val="20"/>
                <w:szCs w:val="20"/>
                <w:lang w:val="ru-RU" w:eastAsia="ar-SA"/>
              </w:rPr>
            </w:pPr>
            <w:r w:rsidRPr="00173CCE"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  <w:t>Напрям 2. Розвиток післядипломної освіти</w:t>
            </w: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ефективності виявлення та підтримки творчої праці вчителів, підвищення їхньої професійної майстерності, популяризація педагогічних здобутків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Відзначення учителів – переможців та лауреатів першого туру Всеукраїнського конкурсу «Учитель року»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0929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</w:t>
            </w:r>
            <w:r w:rsidR="00092928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092928" w:rsidRPr="00173CCE" w:rsidRDefault="00092928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777,0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144,0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161,0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161,0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161,0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престижу професії учителя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2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ефективної фінансово-господарської діяльності 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проживання педагогів області – слухачів курсів підвищення кваліфікації – у гуртожитку КЗ «Харківська гуманітарно-педагогічна академія» Харківської обласної ради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0929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</w:t>
            </w:r>
            <w:r w:rsidR="00092928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092928" w:rsidRPr="00173CCE" w:rsidRDefault="00092928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1C7FAD" w:rsidRDefault="001C7FAD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7FAD" w:rsidRPr="001C7FAD" w:rsidRDefault="001C7FAD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C7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1C7FAD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1C7FAD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1C7FAD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1C7FAD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1C7FAD" w:rsidP="001C7FA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Сприяння підвищенню професійного рівня педагогічних працівників  закладів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4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Науково-методичне забезпечення регіонального компоненту освіти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Створення, видання та розповсюдження науково-методичної літератури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0929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</w:t>
            </w:r>
            <w:r w:rsidR="00092928">
              <w:rPr>
                <w:rFonts w:ascii="Times New Roman" w:hAnsi="Times New Roman"/>
                <w:sz w:val="20"/>
                <w:szCs w:val="20"/>
                <w:lang w:val="uk-UA"/>
              </w:rPr>
              <w:t>істрації,</w:t>
            </w:r>
          </w:p>
          <w:p w:rsidR="00092928" w:rsidRPr="00173CCE" w:rsidRDefault="00092928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6B1F09" w:rsidRDefault="006B1F0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F09" w:rsidRPr="006B1F09" w:rsidRDefault="006B1F09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1F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09292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професійного рівня педагогічних працівників  закладів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83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2.4.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Підтримка творчої праці педагогічних працівників закладів освіти, підвищення їхньої професійної майстерності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tabs>
                <w:tab w:val="left" w:pos="599"/>
              </w:tabs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2.4.1.</w:t>
            </w:r>
            <w:r w:rsidR="006B1F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обласного методичного заходу «Педагогічна толока» для педагогічних працівників закладів дошкільної освіти до Дня дошкілля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6B1F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</w:t>
            </w:r>
          </w:p>
          <w:p w:rsidR="00476F2F" w:rsidRDefault="006B1F0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адміністрації,</w:t>
            </w:r>
          </w:p>
          <w:p w:rsidR="006B1F09" w:rsidRPr="00173CCE" w:rsidRDefault="006B1F09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Default="006B1F0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476F2F"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юджет</w:t>
            </w:r>
          </w:p>
          <w:p w:rsidR="006B1F09" w:rsidRDefault="006B1F0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F09" w:rsidRPr="006B1F09" w:rsidRDefault="006B1F09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1F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6B1F09" w:rsidP="006B1F0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Популяризація здобутків педагогічних працівників закладів дошкільної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2.4.2.Проведення фестивалю творчості педагогічних працівників закладів позашкільної освіти Харківщини. Нагородження найкращих педагогічних працівників закладів позашкільної освіти Харківської області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</w:t>
            </w:r>
          </w:p>
          <w:p w:rsidR="00476F2F" w:rsidRDefault="006E28D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476F2F"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міністрації,</w:t>
            </w:r>
          </w:p>
          <w:p w:rsidR="006E28D9" w:rsidRPr="00173CCE" w:rsidRDefault="006E28D9" w:rsidP="006E28D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 «Харківський</w:t>
            </w:r>
          </w:p>
          <w:p w:rsidR="00476F2F" w:rsidRPr="00173CCE" w:rsidRDefault="006E28D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476F2F"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бласний Палац дитячої та юнацької творчості»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12,5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професійної компетенції працівників закладів позашкільної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2.4.3.Призначення та виплата обласних іменних стипендій в галузі науки видатним та обдарованим молодим науковцям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</w:t>
            </w:r>
          </w:p>
          <w:p w:rsidR="00476F2F" w:rsidRDefault="006E28D9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476F2F"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дміністрації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6E28D9" w:rsidRPr="00173CCE" w:rsidRDefault="006E28D9" w:rsidP="006E28D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1440,0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1440,0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Стимулювання творчої праці видатних та обдарованих молодих науковців</w:t>
            </w: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2.4.4. Підведення підсумків щорічного обласного конкурсу «Вища школа Харківщини – кращі імена»; визначення та урочисте нагородження переможців конкурсу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2024-2028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Всього за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п.2.4.4.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 обласної державної</w:t>
            </w:r>
          </w:p>
          <w:p w:rsidR="006E28D9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(військової) адміністрації, </w:t>
            </w:r>
          </w:p>
          <w:p w:rsidR="006E28D9" w:rsidRPr="00173CCE" w:rsidRDefault="006E28D9" w:rsidP="006E28D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ГО «Спілка ректорів закладів ви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>щої освіти Харківської області»,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</w:t>
            </w:r>
            <w:r w:rsidR="006E28D9">
              <w:rPr>
                <w:rFonts w:ascii="Times New Roman" w:hAnsi="Times New Roman"/>
                <w:sz w:val="20"/>
                <w:szCs w:val="20"/>
                <w:lang w:val="uk-UA"/>
              </w:rPr>
              <w:t>ої ради,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обласна мала академія наук Харківської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обласної ради»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джерела, не заборонені законодавством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Поширення найкращого досвіду роботи науково-педагогічних та педагогічних працівників закладів вищої освіти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Розвиток наукової та науково-технічної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сфери Харківщини шляхом виявлення і підтримки талановитої молоді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та підбиття підсумків щорічного обласного конкурсу «Найкращий молодий науковець Харківщини»; визначення переможців конкурсу та урочисте  нагородження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9938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 обласної державної</w:t>
            </w:r>
          </w:p>
          <w:p w:rsidR="00993813" w:rsidRDefault="00476F2F" w:rsidP="009938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</w:t>
            </w:r>
            <w:r w:rsidR="0099381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476F2F" w:rsidRPr="00173CCE" w:rsidRDefault="00993813" w:rsidP="009938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Сприяння у наукових дослідженнях молодим науковцям  закладів вищої освіти і наукових установ регіону</w:t>
            </w: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пріоритетних</w:t>
            </w:r>
            <w:r w:rsidRPr="00173CCE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напрямів розвитку галузі освіти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та проведення серпневого педагогічного форуму до початку нового навчального року та вшанування кращих освітян області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9938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 обласної державної</w:t>
            </w:r>
          </w:p>
          <w:p w:rsidR="00476F2F" w:rsidRDefault="005629D6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:rsidR="005629D6" w:rsidRPr="00173CCE" w:rsidRDefault="005629D6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138,0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147,6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156,2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156,2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156,2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престижності професії педагога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2.7.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результативності роботи державних службовців та посадових осіб місцевого самоврядування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2.7.1. Забезпечення підвищення кваліфікації державних службовців та посадових осіб місцевого самоврядування за програмами тематичних семінарів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562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</w:t>
            </w:r>
          </w:p>
          <w:p w:rsidR="00476F2F" w:rsidRPr="00173CCE" w:rsidRDefault="005629D6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Харківська обласна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Державна (військова)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4021,0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540,3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648,4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778,1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933,7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1120,5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рівня надання освітніх послуг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2.7.2. Забезпечення підвищення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кваліфікації державних службовців та посадових осіб місцевого самоврядування за професійними програмами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562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</w:t>
            </w:r>
          </w:p>
          <w:p w:rsidR="00476F2F" w:rsidRPr="00173CCE" w:rsidRDefault="005629D6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Харківська обласна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Державна (військова)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2057,9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213,3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319,9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399,9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499,9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624,9</w:t>
            </w: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результативності роботи державних службовців та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посадових осіб місцевого самоврядування</w:t>
            </w:r>
          </w:p>
        </w:tc>
      </w:tr>
      <w:tr w:rsidR="00476F2F" w:rsidRPr="00B5740F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Реформування шкільного харчування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Створення та відкриття кулінарних хабів на базі закладів професійної (професійно-технічної освіти)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562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</w:t>
            </w:r>
            <w:r w:rsidR="005629D6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5629D6" w:rsidRPr="00173CCE" w:rsidRDefault="005629D6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професійної (професійно-технічної)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</w:t>
            </w:r>
          </w:p>
          <w:p w:rsidR="00476F2F" w:rsidRPr="00173CCE" w:rsidRDefault="005629D6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476F2F"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юджет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spacing w:after="0" w:line="100" w:lineRule="atLeast"/>
              <w:ind w:hanging="10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476F2F" w:rsidP="00476F2F">
            <w:pPr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кухарів за новими сучасними  програмами, підвищення рівня кваліфікаційних компетентностей працівників їдалень закладів освіти</w:t>
            </w:r>
          </w:p>
          <w:p w:rsidR="00476F2F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76F2F" w:rsidRPr="00B5740F" w:rsidTr="005B6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2.9.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фахового рівня педагогічних працівників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E7" w:rsidRDefault="00476F2F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кваліфікації </w:t>
            </w:r>
            <w:r w:rsidR="00562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працівників інклюзивно-ресурсних центрів та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педагогічних працівників, які </w:t>
            </w:r>
            <w:r w:rsidR="009850E7">
              <w:rPr>
                <w:rFonts w:ascii="Times New Roman" w:hAnsi="Times New Roman"/>
                <w:sz w:val="20"/>
                <w:szCs w:val="20"/>
                <w:lang w:val="uk-UA"/>
              </w:rPr>
              <w:t>мають спеціальну освіту;</w:t>
            </w:r>
          </w:p>
          <w:p w:rsidR="009850E7" w:rsidRDefault="009850E7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50E7" w:rsidRDefault="009850E7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50E7" w:rsidRDefault="009850E7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9850E7" w:rsidP="009850E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Підготовка фахівців за освітнім ступенем магістра</w:t>
            </w:r>
            <w:r w:rsidR="00A05A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працівників ІРЦ та </w:t>
            </w:r>
            <w:r w:rsidR="00A05A24"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педагогічних працівників, які </w:t>
            </w:r>
            <w:r w:rsidR="00A05A24">
              <w:rPr>
                <w:rFonts w:ascii="Times New Roman" w:hAnsi="Times New Roman"/>
                <w:sz w:val="20"/>
                <w:szCs w:val="20"/>
                <w:lang w:val="uk-UA"/>
              </w:rPr>
              <w:t>мають спеціальну освіту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D6" w:rsidRDefault="005629D6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5629D6" w:rsidRPr="00173CCE" w:rsidRDefault="005629D6" w:rsidP="005629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,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ради;</w:t>
            </w: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вищої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B6A42" w:rsidRDefault="005B6A42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A42" w:rsidRDefault="005B6A4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B6A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5A24" w:rsidRDefault="00A05A24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1500,0</w:t>
            </w:r>
          </w:p>
          <w:p w:rsidR="006A4C12" w:rsidRDefault="006A4C1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A4C12" w:rsidRDefault="006A4C1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A4C12" w:rsidRDefault="006A4C1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A4C12" w:rsidRDefault="003565B0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2000,0</w:t>
            </w:r>
          </w:p>
          <w:p w:rsidR="006A4C12" w:rsidRDefault="006A4C1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A4C12" w:rsidRPr="005B6A42" w:rsidRDefault="006A4C1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6F2F" w:rsidRDefault="005B6A42" w:rsidP="006A4C1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  <w:p w:rsidR="009850E7" w:rsidRDefault="009850E7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50E7" w:rsidRDefault="009850E7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50E7" w:rsidRDefault="009850E7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50E7" w:rsidRDefault="009850E7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A05A24">
              <w:rPr>
                <w:rFonts w:ascii="Times New Roman" w:hAnsi="Times New Roman"/>
                <w:sz w:val="20"/>
                <w:szCs w:val="20"/>
                <w:lang w:val="ru-RU"/>
              </w:rPr>
              <w:t>00,0</w:t>
            </w: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Pr="00061DE2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1D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400,0</w:t>
            </w:r>
          </w:p>
          <w:p w:rsidR="009850E7" w:rsidRDefault="009850E7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50E7" w:rsidRDefault="009850E7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50E7" w:rsidRPr="00173CCE" w:rsidRDefault="009850E7" w:rsidP="003565B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6F2F" w:rsidRDefault="005B6A4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A05A24">
              <w:rPr>
                <w:rFonts w:ascii="Times New Roman" w:hAnsi="Times New Roman"/>
                <w:sz w:val="20"/>
                <w:szCs w:val="20"/>
                <w:lang w:val="ru-RU"/>
              </w:rPr>
              <w:t>00,0</w:t>
            </w: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Pr="00061DE2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1D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6F2F" w:rsidRDefault="005B6A4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A05A2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A05A2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300,0</w:t>
            </w:r>
          </w:p>
          <w:p w:rsidR="003565B0" w:rsidRDefault="003565B0" w:rsidP="00A05A2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A05A2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A05A2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Pr="00061DE2" w:rsidRDefault="003565B0" w:rsidP="00A05A2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1D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6F2F" w:rsidRDefault="005B6A4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300,0</w:t>
            </w: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565B0" w:rsidRPr="00061DE2" w:rsidRDefault="003565B0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1D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4C12" w:rsidRDefault="006A4C1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6F2F" w:rsidRDefault="005B6A4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5A24" w:rsidRDefault="00A05A24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300,0</w:t>
            </w:r>
          </w:p>
          <w:p w:rsidR="00061DE2" w:rsidRDefault="00061DE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1DE2" w:rsidRDefault="00061DE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1DE2" w:rsidRDefault="00061DE2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1DE2" w:rsidRPr="00061DE2" w:rsidRDefault="00061DE2" w:rsidP="005B6A4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1D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F2F" w:rsidRPr="00173CCE" w:rsidRDefault="00476F2F" w:rsidP="005B6A4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Підвищення професійних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</w:t>
            </w: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тей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педагогічних працівників</w:t>
            </w:r>
            <w:r w:rsidRPr="00173CCE">
              <w:rPr>
                <w:rFonts w:ascii="Times New Roman" w:hAnsi="Times New Roman"/>
                <w:sz w:val="20"/>
                <w:szCs w:val="20"/>
                <w:shd w:val="clear" w:color="auto" w:fill="FFFF0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закладів спеціальної освіти</w:t>
            </w:r>
            <w:r w:rsidR="00A05A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працівників ІРЦ</w:t>
            </w:r>
          </w:p>
        </w:tc>
      </w:tr>
      <w:tr w:rsidR="00476F2F" w:rsidRPr="00173CCE" w:rsidTr="0056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2.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Pr="00173CCE" w:rsidRDefault="00061DE2" w:rsidP="00476F2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96622,0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2F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476F2F" w:rsidRPr="00123604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23604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6F2F" w:rsidRPr="00173CCE" w:rsidRDefault="00476F2F" w:rsidP="00476F2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061DE2" w:rsidP="00476F2F">
            <w:pPr>
              <w:spacing w:after="0" w:line="100" w:lineRule="atLeast"/>
              <w:ind w:hanging="10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188</w:t>
            </w:r>
            <w:r w:rsidR="006555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061DE2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190</w:t>
            </w:r>
            <w:r w:rsidR="006555F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061DE2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192</w:t>
            </w:r>
            <w:r w:rsidR="006555F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061DE2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195</w:t>
            </w:r>
            <w:r w:rsidR="006555F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2F" w:rsidRPr="00173CCE" w:rsidRDefault="00061DE2" w:rsidP="004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199</w:t>
            </w:r>
            <w:r w:rsidR="006555F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45,1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F2F" w:rsidRPr="00173CCE" w:rsidRDefault="00476F2F" w:rsidP="0047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285FB9" w:rsidRDefault="00285FB9">
      <w:pPr>
        <w:rPr>
          <w:lang w:val="uk-UA"/>
        </w:rPr>
      </w:pPr>
    </w:p>
    <w:p w:rsidR="00285FB9" w:rsidRDefault="00285FB9">
      <w:pPr>
        <w:rPr>
          <w:lang w:val="uk-UA"/>
        </w:rPr>
      </w:pPr>
    </w:p>
    <w:p w:rsidR="00285FB9" w:rsidRPr="00123604" w:rsidRDefault="00285FB9">
      <w:pPr>
        <w:rPr>
          <w:lang w:val="uk-UA"/>
        </w:rPr>
      </w:pPr>
    </w:p>
    <w:tbl>
      <w:tblPr>
        <w:tblW w:w="15330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008"/>
        <w:gridCol w:w="2151"/>
        <w:gridCol w:w="1083"/>
        <w:gridCol w:w="1987"/>
        <w:gridCol w:w="1441"/>
        <w:gridCol w:w="1038"/>
        <w:gridCol w:w="992"/>
        <w:gridCol w:w="992"/>
        <w:gridCol w:w="992"/>
        <w:gridCol w:w="993"/>
        <w:gridCol w:w="1134"/>
      </w:tblGrid>
      <w:tr w:rsidR="00285FB9" w:rsidRPr="00B5740F" w:rsidTr="00A117C3">
        <w:trPr>
          <w:cantSplit/>
          <w:trHeight w:val="973"/>
        </w:trPr>
        <w:tc>
          <w:tcPr>
            <w:tcW w:w="153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B235C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Напрям 3. Удосконалення планування та супроводу фінансово-господарської діяльності, матеріально-технічного та методичного забезпечення, контролю дотримання безпечних умов організації освітнього процесу в закладах освіти, що перебувають у спільній власності територіальних громад сіл, селищ, міст області, а також закладах і установах освітньої галузі в цілому</w:t>
            </w:r>
          </w:p>
        </w:tc>
      </w:tr>
      <w:tr w:rsidR="00285FB9" w:rsidRPr="00B5740F" w:rsidTr="00A117C3">
        <w:trPr>
          <w:cantSplit/>
          <w:trHeight w:val="111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Удосконалення планування та супроводу фінансово-господарської діяльності, матеріально-технічного та методичного забезпечення, контролю дотримання безпечних умов організації освітнього процесу в закладах і установах освіти, що перебувають у спільній власності територіальних громад сіл, селищ, міст області, а також закладах і установах освітньої галузі в цілому</w:t>
            </w:r>
          </w:p>
          <w:p w:rsidR="00285FB9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функціонування КУ «Центр матеріально-технічного забезпечення соціального розвитку закладів освіти області»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</w:t>
            </w:r>
            <w:r w:rsidR="00786CE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173CCE" w:rsidRDefault="00285FB9" w:rsidP="00B80F85">
            <w:pPr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ru-RU"/>
              </w:rPr>
              <w:t>Відповідно до асигнувань, передбачених кошторисом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173CCE" w:rsidRDefault="00285FB9" w:rsidP="00B80F85">
            <w:pPr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ru-RU"/>
              </w:rPr>
              <w:t>Відповідно до асигнувань, передбачених кошторисом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173CCE" w:rsidRDefault="00285FB9" w:rsidP="00B80F85">
            <w:pPr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ru-RU"/>
              </w:rPr>
              <w:t>Відповідно до асигнувань, передбачених кошторисом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173CCE" w:rsidRDefault="00285FB9" w:rsidP="00B80F85">
            <w:pPr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ru-RU"/>
              </w:rPr>
              <w:t>Відповідно до асигнувань, передбачених кошторисом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173CCE" w:rsidRDefault="00285FB9" w:rsidP="00B80F85">
            <w:pPr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ru-RU"/>
              </w:rPr>
              <w:t>Відповідно до асигнувань, передбачених кошторисом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285FB9" w:rsidP="00C86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173CCE" w:rsidTr="00A117C3">
        <w:trPr>
          <w:cantSplit/>
          <w:trHeight w:val="1111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3.2.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Модернізація матеріально-технічної бази окремих закладів та установ освіти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3.2.1. Проведення ремонтно-будівельних робіт із застосуванням енергозберігаючих та енергоефективних технологій, здійснення реставраційного ремонту, виготовлення або коригування проєктно-кошторисної документації в установах, закладах професійної (професійно-технічної) освіти, фахової передвищої освіти, що мають</w:t>
            </w:r>
            <w:r w:rsidRPr="00173CC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статус окремих юридичних осіб і фінансуються з обласного бюджету, зміцнення їх матеріально-технічної бази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  <w:r w:rsidR="00786CE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786CE3" w:rsidRPr="00173CCE" w:rsidRDefault="00786CE3" w:rsidP="00786CE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капітального будівництва Харківської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обласної державної (військової)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 законодавством</w:t>
            </w: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85FB9" w:rsidRPr="00173CCE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3655478,0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786CE3" w:rsidRDefault="00285FB9" w:rsidP="00786CE3">
            <w:pPr>
              <w:spacing w:after="0" w:line="100" w:lineRule="atLeast"/>
              <w:ind w:left="-6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6CE3">
              <w:rPr>
                <w:rFonts w:ascii="Times New Roman" w:hAnsi="Times New Roman"/>
                <w:sz w:val="18"/>
                <w:szCs w:val="18"/>
                <w:lang w:val="ru-RU"/>
              </w:rPr>
              <w:t>1054579,8</w:t>
            </w: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5FB9" w:rsidRPr="00786CE3" w:rsidRDefault="00285FB9" w:rsidP="00D115E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786CE3" w:rsidRDefault="00285FB9" w:rsidP="00786CE3">
            <w:pPr>
              <w:spacing w:after="0" w:line="240" w:lineRule="auto"/>
              <w:ind w:hanging="114"/>
              <w:jc w:val="right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786CE3">
              <w:rPr>
                <w:rFonts w:ascii="Times New Roman" w:hAnsi="Times New Roman"/>
                <w:bCs/>
                <w:sz w:val="19"/>
                <w:szCs w:val="19"/>
                <w:lang w:val="uk-UA" w:eastAsia="ru-RU"/>
              </w:rPr>
              <w:t>391322</w:t>
            </w:r>
            <w:r w:rsidRPr="00786C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786CE3" w:rsidRDefault="00285FB9" w:rsidP="00786CE3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786C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301416,2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786CE3" w:rsidRDefault="00285FB9" w:rsidP="00D11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786C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1717469,9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786CE3" w:rsidRDefault="00285FB9" w:rsidP="00D11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786CE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190690,1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D1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B5740F" w:rsidTr="00A117C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3.2.2. Оснащення опорних закладів загальної середньої освіти та профільних ліцеїв області засобами навчання, у тому числі кабінетами фізики, хімії, біології, географії, математики, навчальними комп’ютерними комплексами з мультимедійними засобами навчання на умовах співфінансування з місцевих бюджетів не менше 60%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  <w:r w:rsidR="00DC08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173CCE" w:rsidRDefault="00DC0867" w:rsidP="00DC08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285FB9"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ериторіальні громади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73CCE" w:rsidRDefault="00285FB9" w:rsidP="0045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6300,0</w:t>
            </w:r>
          </w:p>
          <w:p w:rsidR="00285FB9" w:rsidRPr="00173CCE" w:rsidRDefault="00285FB9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Бюджети сільських, селищних, міських територіальних громад та інші джерела, не заборонені законодавством</w:t>
            </w:r>
          </w:p>
          <w:p w:rsidR="00285FB9" w:rsidRPr="00173CCE" w:rsidRDefault="00285FB9" w:rsidP="0045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9450,0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455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1260,0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173CCE" w:rsidRDefault="00786CE3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</w:t>
            </w:r>
            <w:r w:rsidR="00285FB9"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 реалізації освітніх програм, осучаснення матеріально-технічної бази навчальних кабінетів</w:t>
            </w:r>
          </w:p>
        </w:tc>
      </w:tr>
      <w:tr w:rsidR="00285FB9" w:rsidRPr="00B5740F" w:rsidTr="00A117C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3.2.3. Оснащення опорних закладів загальної середньої освіти та профільних ліцеїв області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STEM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-лабораторіями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  <w:r w:rsidR="00DC086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  <w:p w:rsidR="00DC0867" w:rsidRPr="00173CCE" w:rsidRDefault="00DC0867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44232,5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8846,5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8846,5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8846,5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8846,5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8846,5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Упровад-ження інновацій-них методів навчання, удоскона-лення форм освітнього процесу</w:t>
            </w:r>
          </w:p>
          <w:p w:rsidR="00285FB9" w:rsidRPr="00173CCE" w:rsidRDefault="00285FB9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B5740F" w:rsidTr="00A117C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3.2.4. Оснащення опорних закладів загальної середньої освіти та профільних ліцеїв області шкільними автобусами на умовах співфінансування з місцевих бюджетів не менше 50%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</w:t>
            </w:r>
            <w:r w:rsidR="00DC0867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DC0867" w:rsidRPr="00173CCE" w:rsidRDefault="00DC0867" w:rsidP="00DC08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87500,0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Бюджети сільських, селищних, міських територіальних громад та інші джерела, не заборонені законодавством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87500,0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5C62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Реалізація конститу-ційних прав громадян на якісну освіту та </w:t>
            </w:r>
            <w:r w:rsidRPr="00173CC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створення умов для повернення українських учнів та учителів, які тимчасово перебувають за кордоном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85FB9" w:rsidRPr="00173CCE" w:rsidTr="00A117C3">
        <w:trPr>
          <w:cantSplit/>
          <w:trHeight w:val="1111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3.2.5. Здійснення заходів, пов’язаних із забезпеченням пожежної безпеки (виготовлення або коригування проєктно-кошторисної документації, встановлення автоматичної пожежної сигналізації, обробка дерев’яних конструкцій горищних приміщень вогнетривким розчином) у закладах загальної середньої освіти обласного підпорядкування, професійної (професійно-технічної) освіти незалежно від фінансування та підпорядкування, фахової передвищої освіти, які фінансуються з обласного бюджету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3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EB1B03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EB1B03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EB1B03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EB1B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</w:t>
            </w:r>
            <w:r w:rsidR="00EB1B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державної</w:t>
            </w:r>
          </w:p>
          <w:p w:rsidR="00285FB9" w:rsidRDefault="00EB1B03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(військової) адміністрації,</w:t>
            </w:r>
          </w:p>
          <w:p w:rsidR="00EB1B03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загальної середньої освіти обласного підпорядкування, професійної (професійно-технічної) освіти незалежно від фінансування та підпорядкування, фахової передвищої освіти, які фінансуються з обласного бюджету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73CCE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</w:t>
            </w:r>
          </w:p>
          <w:p w:rsidR="00285FB9" w:rsidRPr="00173CCE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законодавством</w:t>
            </w:r>
            <w:r w:rsidRPr="00173C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  <w:p w:rsidR="00285FB9" w:rsidRPr="00173CCE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ru-RU"/>
              </w:rPr>
              <w:t>43448,0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12067,0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8743,0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6911,0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6891,0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B5740F" w:rsidTr="00A117C3">
        <w:trPr>
          <w:cantSplit/>
          <w:trHeight w:val="111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077C8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3.3.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Модернізація матеріально-технічної бази закладів освіти області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безперебійного доступу до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FTR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протоколу (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File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Transfer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Protokol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), інформаційне забезпечення освітнього процесу у закладах професійної (професійно-технічної) та фахової передвищої освіти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  <w:r w:rsidR="00EB1B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</w:t>
            </w:r>
            <w:r w:rsidR="00EB1B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</w:t>
            </w: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дміністрації</w:t>
            </w:r>
            <w:r w:rsidR="00EB1B0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B1B03" w:rsidRPr="00173CCE" w:rsidRDefault="00EB1B03" w:rsidP="00EB1B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173CCE" w:rsidRDefault="00285FB9" w:rsidP="00B6771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заклади професійної (професійно-технічної) та фахової передвищої освіти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73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1500,0</w:t>
            </w: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1500,0</w:t>
            </w:r>
          </w:p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Забезпечен-ня бібліотеч-ними інформацій-но-пошуко-вими системами електронних бібліотек закладів професійної (професійно-технічної) та фахової передвищої освіти</w:t>
            </w:r>
          </w:p>
        </w:tc>
      </w:tr>
      <w:tr w:rsidR="00285FB9" w:rsidRPr="00173CCE" w:rsidTr="00A117C3">
        <w:trPr>
          <w:cantSplit/>
          <w:trHeight w:val="5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3.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A117C3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117C3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380</w:t>
            </w:r>
            <w:r w:rsidR="00285FB9" w:rsidRPr="00A117C3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9070,5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173CC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A91D70" w:rsidP="00A91D70">
            <w:pPr>
              <w:spacing w:after="0" w:line="100" w:lineRule="atLeast"/>
              <w:ind w:hanging="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1D70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83100,3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404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432495,5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404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339265,7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A91D70">
            <w:pPr>
              <w:spacing w:after="0" w:line="240" w:lineRule="auto"/>
              <w:ind w:hanging="11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1753487,4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80E8B" w:rsidRDefault="00285FB9" w:rsidP="00404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80E8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226687,6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173CCE" w:rsidTr="00A117C3">
        <w:trPr>
          <w:cantSplit/>
          <w:trHeight w:val="5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B9" w:rsidRPr="00173CCE" w:rsidRDefault="00285FB9" w:rsidP="00B677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117C3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96950,0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F2CC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Бюджети сільських, селищних, міських територіальних громад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B1B03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17C3">
              <w:rPr>
                <w:rFonts w:ascii="Times New Roman" w:hAnsi="Times New Roman"/>
                <w:b/>
                <w:sz w:val="18"/>
                <w:szCs w:val="18"/>
                <w:highlight w:val="yellow"/>
                <w:lang w:val="ru-RU"/>
              </w:rPr>
              <w:t>19390,0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19390,0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19390,0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19390,0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80E8B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80E8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19390,0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5FB9" w:rsidRPr="00173CCE" w:rsidTr="00A117C3">
        <w:trPr>
          <w:cantSplit/>
          <w:trHeight w:val="5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C83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Разом за напрямом 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C8319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A117C3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117C3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390</w:t>
            </w:r>
            <w:r w:rsidR="00285FB9" w:rsidRPr="00A117C3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6020,5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73CCE" w:rsidRDefault="00285FB9" w:rsidP="00BF2CC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A91D70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1D70"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  <w:t>102490,3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451885,5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358655,7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91D70" w:rsidRDefault="00285FB9" w:rsidP="00A91D70">
            <w:pPr>
              <w:spacing w:after="0" w:line="240" w:lineRule="auto"/>
              <w:ind w:hanging="11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91D7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1772877,4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A80E8B" w:rsidRDefault="00285FB9" w:rsidP="00C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80E8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  <w:t>246077,6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173CCE" w:rsidRDefault="00285FB9" w:rsidP="00B67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EB1B03" w:rsidRDefault="00EB1B03"/>
    <w:p w:rsidR="00EB1B03" w:rsidRDefault="00EB1B03"/>
    <w:p w:rsidR="00EB1B03" w:rsidRDefault="00EB1B03"/>
    <w:p w:rsidR="00EB1B03" w:rsidRDefault="00EB1B03"/>
    <w:p w:rsidR="00EB1B03" w:rsidRDefault="00EB1B03"/>
    <w:tbl>
      <w:tblPr>
        <w:tblW w:w="1504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23"/>
        <w:gridCol w:w="2842"/>
        <w:gridCol w:w="1083"/>
        <w:gridCol w:w="1619"/>
        <w:gridCol w:w="1278"/>
        <w:gridCol w:w="848"/>
        <w:gridCol w:w="709"/>
        <w:gridCol w:w="708"/>
        <w:gridCol w:w="709"/>
        <w:gridCol w:w="709"/>
        <w:gridCol w:w="2693"/>
      </w:tblGrid>
      <w:tr w:rsidR="00285FB9" w:rsidRPr="00E673DC" w:rsidTr="007F1244">
        <w:trPr>
          <w:cantSplit/>
          <w:trHeight w:val="508"/>
        </w:trPr>
        <w:tc>
          <w:tcPr>
            <w:tcW w:w="150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586A84" w:rsidRDefault="00285FB9" w:rsidP="00B6771E">
            <w:pPr>
              <w:suppressAutoHyphens/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</w:pPr>
            <w:r w:rsidRPr="00586A84"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  <w:t>Напрям 4. Забезпечення стійкого інноваційного розвитку інклюзивної та спеціальної освіти</w:t>
            </w:r>
          </w:p>
        </w:tc>
      </w:tr>
      <w:tr w:rsidR="00285FB9" w:rsidRPr="00B5740F" w:rsidTr="00854AE9">
        <w:trPr>
          <w:cantSplit/>
          <w:trHeight w:val="27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4.1.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кваліфікації педагогічних та науково-педагогічних працівників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Навчальні семінари, тренінги, курси, інші навчально-методичні заходи для педагогічних працівників, які забезпечують інклюзивну та спеціальну освіту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F3" w:rsidRPr="00173CCE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A775F3" w:rsidRPr="00173CCE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A775F3" w:rsidRPr="00173CCE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A775F3" w:rsidRPr="00173CCE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A775F3" w:rsidP="00A775F3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</w:t>
            </w:r>
            <w:r w:rsidR="00A775F3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A775F3" w:rsidRPr="00173CCE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ради;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E673DC">
              <w:rPr>
                <w:rFonts w:ascii="Times New Roman" w:hAnsi="Times New Roman"/>
                <w:sz w:val="20"/>
                <w:szCs w:val="20"/>
                <w:lang w:val="ru-RU"/>
              </w:rPr>
              <w:t>бюджет</w:t>
            </w:r>
          </w:p>
          <w:p w:rsidR="00285FB9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Бюджети сільських, селищних, міських територіаль-них громад</w:t>
            </w:r>
          </w:p>
          <w:p w:rsidR="00A775F3" w:rsidRDefault="00A775F3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75F3" w:rsidRPr="00A775F3" w:rsidRDefault="00A775F3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75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575,0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A775F3" w:rsidP="00A775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586A84" w:rsidRDefault="007F1244" w:rsidP="007F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Висококваліфіковані педагогічні працівники, які забезпечують інклюзивну та спеціальну освіту</w:t>
            </w:r>
          </w:p>
        </w:tc>
      </w:tr>
      <w:tr w:rsidR="00285FB9" w:rsidRPr="00B5740F" w:rsidTr="00854AE9">
        <w:trPr>
          <w:cantSplit/>
          <w:trHeight w:val="22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4.2.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Модернізація матеріально-технічної бази окремих закладів освіти області з інклюзивним навчанням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4.2.1.Підтримка діяльності сучасних закладів освіти шляхом виплати грошових винагород переможцям обласного конкурсу «Кращий заклад спеціальної освіти» для проведення заходів, пов’язаних із покращенням матеріально-технічного, навчально-методичного забезпечення закладу</w:t>
            </w:r>
            <w:r w:rsidR="00A775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(відповідно до затверджених умов проведення конкурсу)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4" w:rsidRPr="00173CCE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7F1244" w:rsidRPr="00173CCE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7F1244" w:rsidRPr="00173CCE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7F1244" w:rsidRPr="00173CCE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7F1244" w:rsidP="007F1244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</w:t>
            </w:r>
            <w:r w:rsidR="007F1244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області»;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7F1244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1244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7F1244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1244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</w:t>
            </w:r>
          </w:p>
          <w:p w:rsidR="00285FB9" w:rsidRPr="007F1244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1244">
              <w:rPr>
                <w:rFonts w:ascii="Times New Roman" w:hAnsi="Times New Roman"/>
                <w:sz w:val="20"/>
                <w:szCs w:val="20"/>
                <w:lang w:val="uk-UA"/>
              </w:rPr>
              <w:t>законодав</w:t>
            </w:r>
            <w:r w:rsidR="007F124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F1244">
              <w:rPr>
                <w:rFonts w:ascii="Times New Roman" w:hAnsi="Times New Roman"/>
                <w:sz w:val="20"/>
                <w:szCs w:val="20"/>
                <w:lang w:val="uk-UA"/>
              </w:rPr>
              <w:t>ством</w:t>
            </w:r>
          </w:p>
          <w:p w:rsidR="007F1244" w:rsidRDefault="007F1244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F1244" w:rsidRPr="007F1244" w:rsidRDefault="007F1244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12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7F1244" w:rsidP="007F124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586A84" w:rsidRDefault="007F1244" w:rsidP="007F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Покращення матеріально-технічної бази закладів спеціальної освіти</w:t>
            </w:r>
          </w:p>
        </w:tc>
      </w:tr>
      <w:tr w:rsidR="00285FB9" w:rsidRPr="00B5740F" w:rsidTr="00854AE9">
        <w:trPr>
          <w:cantSplit/>
          <w:trHeight w:val="111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4.2.2. Підтримка діяльності сучасних закладів освіти з інклюзивним навчанням шляхом виплати грошових винагород переможцям обласного конкурсу «Кращий заклад інклюзивної освіти» для проведення заходів, пов’язаних із покращенням матеріально-технічного, навчально-методичного забезпечення закладу</w:t>
            </w:r>
            <w:r w:rsidR="007307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(відповідно до затверджених умов проведення конкурсу)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6D" w:rsidRPr="00173CCE" w:rsidRDefault="0052056D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52056D" w:rsidRPr="00173CCE" w:rsidRDefault="0052056D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52056D" w:rsidRPr="00173CCE" w:rsidRDefault="0052056D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52056D" w:rsidRPr="00173CCE" w:rsidRDefault="0052056D" w:rsidP="0052056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52056D" w:rsidP="0052056D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</w:t>
            </w:r>
            <w:r w:rsidR="001D50F4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 w:rsidR="0052056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1D50F4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50F4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85FB9" w:rsidRPr="001D50F4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50F4">
              <w:rPr>
                <w:rFonts w:ascii="Times New Roman" w:hAnsi="Times New Roman"/>
                <w:sz w:val="20"/>
                <w:szCs w:val="20"/>
                <w:lang w:val="uk-UA"/>
              </w:rPr>
              <w:t>та інші джерела, не заборонені</w:t>
            </w:r>
          </w:p>
          <w:p w:rsidR="00285FB9" w:rsidRPr="001D50F4" w:rsidRDefault="00285FB9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50F4">
              <w:rPr>
                <w:rFonts w:ascii="Times New Roman" w:hAnsi="Times New Roman"/>
                <w:sz w:val="20"/>
                <w:szCs w:val="20"/>
                <w:lang w:val="uk-UA"/>
              </w:rPr>
              <w:t>законодав</w:t>
            </w:r>
            <w:r w:rsidR="001D50F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1D50F4">
              <w:rPr>
                <w:rFonts w:ascii="Times New Roman" w:hAnsi="Times New Roman"/>
                <w:sz w:val="20"/>
                <w:szCs w:val="20"/>
                <w:lang w:val="uk-UA"/>
              </w:rPr>
              <w:t>ством</w:t>
            </w:r>
          </w:p>
          <w:p w:rsidR="001D50F4" w:rsidRPr="001D50F4" w:rsidRDefault="001D50F4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D50F4" w:rsidRPr="001D50F4" w:rsidRDefault="001D50F4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D50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1D50F4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1D50F4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1D50F4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1D50F4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1D50F4" w:rsidP="001D50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FB9" w:rsidRPr="00586A84" w:rsidRDefault="001D50F4" w:rsidP="001D5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Покращення матеріально-технічної бази закладів інклюзивної освіти</w:t>
            </w:r>
          </w:p>
        </w:tc>
      </w:tr>
      <w:tr w:rsidR="005C6882" w:rsidRPr="00B5740F" w:rsidTr="00854AE9">
        <w:trPr>
          <w:cantSplit/>
          <w:trHeight w:val="1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4.3.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якісної освіти дітей з особливими освітніми потребами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4.3.1.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Надання</w:t>
            </w: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корекційн</w:t>
            </w:r>
            <w:r w:rsidR="0087318A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розви</w:t>
            </w:r>
            <w:r w:rsidR="0087318A">
              <w:rPr>
                <w:rFonts w:ascii="Times New Roman" w:hAnsi="Times New Roman"/>
                <w:sz w:val="20"/>
                <w:szCs w:val="20"/>
                <w:lang w:val="uk-UA"/>
              </w:rPr>
              <w:t>ткових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послуг</w:t>
            </w:r>
            <w:r w:rsidR="008731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працівниками ІРЦ д</w:t>
            </w: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ля дітей з особливими освітніми потребами 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5C6882" w:rsidRPr="00E673DC" w:rsidRDefault="005C6882" w:rsidP="005C6882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5C6882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Бюджети територіаль-них громад</w:t>
            </w:r>
          </w:p>
          <w:p w:rsidR="005C6882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6882" w:rsidRPr="00586A84" w:rsidRDefault="005C6882" w:rsidP="005C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Розвиток дітей, які мають особливі освітні потреби</w:t>
            </w:r>
          </w:p>
        </w:tc>
      </w:tr>
      <w:tr w:rsidR="005C6882" w:rsidRPr="00C86D7F" w:rsidTr="00854AE9">
        <w:trPr>
          <w:cantSplit/>
          <w:trHeight w:val="277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4.3.2. Організація та проведення обласного конкурсу серед закладів спеціальної та інклюзивної освіти  «Школа, безпека, здоров’я, безбар’єрність»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(відповідно до затверджених умов)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5C6882" w:rsidRPr="00173CCE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5C6882" w:rsidRPr="00E673DC" w:rsidRDefault="005C6882" w:rsidP="005C6882">
            <w:pPr>
              <w:jc w:val="center"/>
              <w:rPr>
                <w:sz w:val="20"/>
                <w:szCs w:val="20"/>
              </w:rPr>
            </w:pPr>
            <w:r w:rsidRPr="00173CCE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обласної державної (військової) адміністрації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ХНПУ імені</w:t>
            </w: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Г.С. Сковороди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2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E673D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C6882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12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82" w:rsidRPr="00E673DC" w:rsidRDefault="005C6882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882" w:rsidRPr="00586A84" w:rsidRDefault="005C6882" w:rsidP="005C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F477A" w:rsidRPr="00C86D7F" w:rsidTr="00854AE9">
        <w:trPr>
          <w:cantSplit/>
          <w:trHeight w:val="4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A" w:rsidRPr="00E673DC" w:rsidRDefault="00DF477A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A" w:rsidRPr="00E673DC" w:rsidRDefault="00DF477A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7A" w:rsidRPr="00E673DC" w:rsidRDefault="00DF477A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Всього за напрямом </w:t>
            </w:r>
            <w:r w:rsidRPr="00E673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A" w:rsidRPr="00E673DC" w:rsidRDefault="00DF477A" w:rsidP="005C6882">
            <w:pPr>
              <w:jc w:val="center"/>
              <w:rPr>
                <w:sz w:val="20"/>
                <w:szCs w:val="20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A" w:rsidRPr="00854AE9" w:rsidRDefault="00854AE9" w:rsidP="005C68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A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14074,0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A" w:rsidRPr="00E673DC" w:rsidRDefault="00DF477A" w:rsidP="005C688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E673D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7A" w:rsidRPr="00586A84" w:rsidRDefault="00DF477A" w:rsidP="005C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F477A" w:rsidRPr="00586A84" w:rsidRDefault="00854AE9" w:rsidP="005C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2815,0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F477A" w:rsidRPr="00586A84" w:rsidRDefault="00854AE9" w:rsidP="005C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F477A" w:rsidRPr="00586A84" w:rsidRDefault="00854AE9" w:rsidP="005C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F477A" w:rsidRPr="00586A84" w:rsidRDefault="00854AE9" w:rsidP="005C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2815,0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77A" w:rsidRPr="00586A84" w:rsidRDefault="00DF477A" w:rsidP="005C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285FB9" w:rsidRDefault="00285FB9">
      <w:pPr>
        <w:rPr>
          <w:lang w:val="uk-UA"/>
        </w:rPr>
      </w:pPr>
    </w:p>
    <w:p w:rsidR="00285FB9" w:rsidRDefault="00285FB9">
      <w:pPr>
        <w:rPr>
          <w:lang w:val="uk-UA"/>
        </w:rPr>
      </w:pPr>
    </w:p>
    <w:p w:rsidR="00285FB9" w:rsidRDefault="00285FB9">
      <w:pPr>
        <w:rPr>
          <w:lang w:val="uk-UA"/>
        </w:rPr>
      </w:pPr>
    </w:p>
    <w:p w:rsidR="00285FB9" w:rsidRDefault="00285FB9">
      <w:pPr>
        <w:rPr>
          <w:lang w:val="uk-UA"/>
        </w:rPr>
      </w:pPr>
    </w:p>
    <w:tbl>
      <w:tblPr>
        <w:tblW w:w="1504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322"/>
        <w:gridCol w:w="2842"/>
        <w:gridCol w:w="1083"/>
        <w:gridCol w:w="1619"/>
        <w:gridCol w:w="1278"/>
        <w:gridCol w:w="850"/>
        <w:gridCol w:w="992"/>
        <w:gridCol w:w="6"/>
        <w:gridCol w:w="845"/>
        <w:gridCol w:w="850"/>
        <w:gridCol w:w="851"/>
        <w:gridCol w:w="1984"/>
      </w:tblGrid>
      <w:tr w:rsidR="00285FB9" w:rsidRPr="00B5740F" w:rsidTr="00854AE9">
        <w:trPr>
          <w:cantSplit/>
          <w:trHeight w:val="1111"/>
        </w:trPr>
        <w:tc>
          <w:tcPr>
            <w:tcW w:w="150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586A84" w:rsidRDefault="00285FB9" w:rsidP="00B6771E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</w:pPr>
            <w:r w:rsidRPr="00586A84">
              <w:rPr>
                <w:rFonts w:ascii="Times New Roman" w:hAnsi="Times New Roman"/>
                <w:b/>
                <w:kern w:val="1"/>
                <w:sz w:val="20"/>
                <w:szCs w:val="20"/>
                <w:lang w:val="uk-UA" w:eastAsia="ar-SA"/>
              </w:rPr>
              <w:t>Напрям 5. Забезпечення висвітлення реалізації заходів обласної програми розвитку освіти «Незламна освіта Харківщини» на 2024 – 2028 роки, а також щодо реформування системи освіти</w:t>
            </w:r>
          </w:p>
        </w:tc>
      </w:tr>
      <w:tr w:rsidR="00285FB9" w:rsidRPr="00B5740F" w:rsidTr="00D73A18">
        <w:trPr>
          <w:cantSplit/>
          <w:trHeight w:val="11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5.1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висвітлення реалізації заходів програми, а також реформування системи освіти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8B66B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Інформування населення щодо виконання в області заходів обласної Програми розвитку освіти «Незламна освіта Харківщини» на 2024 – 2028 роки, а також щодо реформування системи освіти в Україні (у тому числі новацій та важливих подій у дошкільній, шкільній, професійно-технічній, вищій, позашкільній освіті щодо впровадження інклюзивного навчання, щодо освіти дітей-сиріт та дітей, позбавлених батьківського піклування) та його втілення на території Харківської області, а також популяризація освіти та науки, педагогічної професії шляхом залучення </w:t>
            </w:r>
            <w:r w:rsidRPr="00E673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медіа</w:t>
            </w: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, у т.ч. мережі Інтернет, соціальних мереж (передбачає, зокрема, виготовлення та поширення текстових, фото-, відео- та графічних інформаційних матеріалів, соціальної реклами; створення теле- та радіопрограм; інформаційне наповнення вебресурсів)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державної (військової) адміністрації</w:t>
            </w:r>
            <w:r w:rsidR="000D3AC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54AE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масових комунікацій та забезпечення доступу до публічної інформації Харківської обласної державної (військової) адміністрації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0D3ACF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D3ACF" w:rsidRPr="000D3ACF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854AE9" w:rsidP="00854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Оприлюднення інформації про розвиток освіти в регіоні</w:t>
            </w:r>
          </w:p>
        </w:tc>
      </w:tr>
      <w:tr w:rsidR="00285FB9" w:rsidRPr="00B5740F" w:rsidTr="00D73A18">
        <w:trPr>
          <w:cantSplit/>
          <w:trHeight w:val="11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5.2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Створення та забезпечення функціонуван-ня інформацій-ного дашборду показників освіти Харківської області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інформаційної системи аналізу та контролю функціонування освітніх процесів Харківської області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  <w:r w:rsidR="000D3AC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0D3ACF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«Харківська гуманітарно-педагогічна академія»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E673DC" w:rsidRDefault="00285FB9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E673DC" w:rsidRDefault="00285FB9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E673DC" w:rsidRDefault="00285FB9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E673DC" w:rsidRDefault="00285FB9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FB9" w:rsidRPr="00E673DC" w:rsidRDefault="00285FB9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5FB9" w:rsidRPr="00E673DC" w:rsidRDefault="00285FB9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асигнувань, передбачених кошторисом</w:t>
            </w:r>
          </w:p>
        </w:tc>
      </w:tr>
      <w:tr w:rsidR="000D3ACF" w:rsidRPr="00C86D7F" w:rsidTr="00D73A18">
        <w:trPr>
          <w:cantSplit/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5.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B6771E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E673D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CF" w:rsidRPr="000D3ACF" w:rsidRDefault="000D3AC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0D3ACF" w:rsidRDefault="000D3AC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0D3ACF" w:rsidRDefault="000D3AC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0D3ACF" w:rsidRDefault="000D3AC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0D3ACF" w:rsidRDefault="000D3ACF" w:rsidP="008B66B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CF" w:rsidRPr="00E673DC" w:rsidRDefault="000D3ACF" w:rsidP="00B677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5FB9" w:rsidRPr="00B5740F" w:rsidTr="00854AE9">
        <w:trPr>
          <w:cantSplit/>
          <w:trHeight w:val="379"/>
        </w:trPr>
        <w:tc>
          <w:tcPr>
            <w:tcW w:w="150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FB9" w:rsidRPr="00586A84" w:rsidRDefault="00285FB9" w:rsidP="00B6771E">
            <w:pPr>
              <w:suppressAutoHyphens/>
              <w:spacing w:after="0" w:line="100" w:lineRule="atLeast"/>
              <w:ind w:right="-83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Н</w:t>
            </w:r>
            <w:r w:rsidRPr="00586A84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апрям 6. Забезпечення розвитку дистанційної освіти</w:t>
            </w:r>
          </w:p>
        </w:tc>
      </w:tr>
      <w:tr w:rsidR="00285FB9" w:rsidRPr="00B5740F" w:rsidTr="00D73A18">
        <w:trPr>
          <w:cantSplit/>
          <w:trHeight w:val="22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умов для запровадження дистанційної освіти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0D3ACF">
            <w:pPr>
              <w:ind w:left="18" w:right="12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сучасною комп’ютерною технікою закладів загальної середньої освіти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державної (військової) адміністрації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0D3ACF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D3ACF" w:rsidRPr="000D3ACF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0D3ACF" w:rsidP="000D3ACF">
            <w:pPr>
              <w:spacing w:after="0" w:line="100" w:lineRule="atLeast"/>
              <w:ind w:hanging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Модернізація закладів освіти сучасною комп'ютерною технікою</w:t>
            </w:r>
          </w:p>
        </w:tc>
      </w:tr>
      <w:tr w:rsidR="00285FB9" w:rsidRPr="00C86D7F" w:rsidTr="00D73A18">
        <w:trPr>
          <w:cantSplit/>
          <w:trHeight w:val="237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6.2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Розбудова мережі дистанційної освіти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функціонування обласного репозитарію освітніх матеріалів для дистанційного компоненту освітнього процесу в закладах загальної середньої освіти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2027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науки і освіти Харківської обласної держа</w:t>
            </w:r>
            <w:r w:rsidR="000D3ACF">
              <w:rPr>
                <w:rFonts w:ascii="Times New Roman" w:hAnsi="Times New Roman"/>
                <w:sz w:val="20"/>
                <w:szCs w:val="20"/>
                <w:lang w:val="uk-UA"/>
              </w:rPr>
              <w:t>вної (військової) адміністрації,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КУ «Центр матеріально-технічного забезпечення соціального розвитку закладів освіти області»</w:t>
            </w:r>
          </w:p>
          <w:p w:rsidR="00285FB9" w:rsidRPr="00E673DC" w:rsidRDefault="00285FB9" w:rsidP="00B6771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бюджет </w:t>
            </w:r>
          </w:p>
          <w:p w:rsidR="000D3ACF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D3ACF" w:rsidRPr="000D3ACF" w:rsidRDefault="000D3ACF" w:rsidP="00B6771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166,5</w:t>
            </w:r>
          </w:p>
          <w:p w:rsidR="00285FB9" w:rsidRPr="00E673DC" w:rsidRDefault="00285FB9" w:rsidP="00B6771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FB9" w:rsidRPr="00E673DC" w:rsidRDefault="00285FB9" w:rsidP="00B6771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B9" w:rsidRPr="00E673DC" w:rsidRDefault="000D3ACF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9" w:rsidRPr="00E673DC" w:rsidRDefault="00285FB9" w:rsidP="000D3AC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D3ACF" w:rsidRPr="00C86D7F" w:rsidTr="00D73A18">
        <w:trPr>
          <w:cantSplit/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напрямом 6.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>2024-2028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0D3ACF" w:rsidRDefault="000D3ACF" w:rsidP="00046E8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D3A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10166,5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0D3ACF" w:rsidP="00046E8F">
            <w:pPr>
              <w:spacing w:after="0" w:line="100" w:lineRule="atLeast"/>
              <w:ind w:right="-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E673D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CF" w:rsidRPr="00E673DC" w:rsidRDefault="00D73A18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D73A18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2033,5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D73A18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D73A18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2-33,5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CF" w:rsidRPr="00E673DC" w:rsidRDefault="00D73A18" w:rsidP="00046E8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2-33,5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CF" w:rsidRPr="00E673DC" w:rsidRDefault="000D3ACF" w:rsidP="00046E8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5FB9" w:rsidRDefault="00285FB9" w:rsidP="004F26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Фінансування по Програмі</w:t>
      </w:r>
    </w:p>
    <w:p w:rsidR="00285FB9" w:rsidRPr="00D169FD" w:rsidRDefault="00285FB9" w:rsidP="004F26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578"/>
        <w:gridCol w:w="1559"/>
        <w:gridCol w:w="1559"/>
        <w:gridCol w:w="1560"/>
        <w:gridCol w:w="1417"/>
        <w:gridCol w:w="1966"/>
      </w:tblGrid>
      <w:tr w:rsidR="00285FB9" w:rsidRPr="00E673DC" w:rsidTr="000D3ACF">
        <w:trPr>
          <w:jc w:val="center"/>
        </w:trPr>
        <w:tc>
          <w:tcPr>
            <w:tcW w:w="1702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Напрями Програми</w:t>
            </w:r>
          </w:p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578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59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559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2026</w:t>
            </w:r>
          </w:p>
        </w:tc>
        <w:tc>
          <w:tcPr>
            <w:tcW w:w="1560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2027</w:t>
            </w:r>
          </w:p>
        </w:tc>
        <w:tc>
          <w:tcPr>
            <w:tcW w:w="1417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2028</w:t>
            </w:r>
          </w:p>
        </w:tc>
        <w:tc>
          <w:tcPr>
            <w:tcW w:w="1966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2024-2028</w:t>
            </w:r>
          </w:p>
        </w:tc>
      </w:tr>
      <w:tr w:rsidR="00285FB9" w:rsidRPr="008514F8" w:rsidTr="000D3ACF">
        <w:trPr>
          <w:jc w:val="center"/>
        </w:trPr>
        <w:tc>
          <w:tcPr>
            <w:tcW w:w="1702" w:type="dxa"/>
          </w:tcPr>
          <w:p w:rsidR="00285FB9" w:rsidRPr="008514F8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Напрям 1</w:t>
            </w:r>
          </w:p>
        </w:tc>
        <w:tc>
          <w:tcPr>
            <w:tcW w:w="1984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</w:tcPr>
          <w:p w:rsidR="00285FB9" w:rsidRPr="008514F8" w:rsidRDefault="00F839CD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6025,7</w:t>
            </w:r>
          </w:p>
        </w:tc>
        <w:tc>
          <w:tcPr>
            <w:tcW w:w="1559" w:type="dxa"/>
          </w:tcPr>
          <w:p w:rsidR="00285FB9" w:rsidRPr="008514F8" w:rsidRDefault="00F839CD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6932,2</w:t>
            </w:r>
          </w:p>
        </w:tc>
        <w:tc>
          <w:tcPr>
            <w:tcW w:w="1559" w:type="dxa"/>
          </w:tcPr>
          <w:p w:rsidR="00285FB9" w:rsidRPr="008514F8" w:rsidRDefault="00F839CD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8028,9</w:t>
            </w:r>
          </w:p>
        </w:tc>
        <w:tc>
          <w:tcPr>
            <w:tcW w:w="1560" w:type="dxa"/>
          </w:tcPr>
          <w:p w:rsidR="00285FB9" w:rsidRPr="008514F8" w:rsidRDefault="00F839CD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9304,6</w:t>
            </w:r>
          </w:p>
        </w:tc>
        <w:tc>
          <w:tcPr>
            <w:tcW w:w="1417" w:type="dxa"/>
          </w:tcPr>
          <w:p w:rsidR="00285FB9" w:rsidRPr="008514F8" w:rsidRDefault="00F839CD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10835,2</w:t>
            </w:r>
          </w:p>
        </w:tc>
        <w:tc>
          <w:tcPr>
            <w:tcW w:w="1966" w:type="dxa"/>
          </w:tcPr>
          <w:p w:rsidR="00285FB9" w:rsidRPr="008514F8" w:rsidRDefault="00F839CD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41126,6</w:t>
            </w:r>
          </w:p>
        </w:tc>
      </w:tr>
      <w:tr w:rsidR="00285FB9" w:rsidRPr="008514F8" w:rsidTr="0093575B">
        <w:trPr>
          <w:jc w:val="center"/>
        </w:trPr>
        <w:tc>
          <w:tcPr>
            <w:tcW w:w="1702" w:type="dxa"/>
            <w:shd w:val="clear" w:color="auto" w:fill="auto"/>
          </w:tcPr>
          <w:p w:rsidR="00285FB9" w:rsidRPr="0093575B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Напрям 2</w:t>
            </w:r>
          </w:p>
        </w:tc>
        <w:tc>
          <w:tcPr>
            <w:tcW w:w="1984" w:type="dxa"/>
            <w:shd w:val="clear" w:color="auto" w:fill="auto"/>
          </w:tcPr>
          <w:p w:rsidR="00285FB9" w:rsidRPr="0093575B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  <w:shd w:val="clear" w:color="auto" w:fill="auto"/>
          </w:tcPr>
          <w:p w:rsidR="00285FB9" w:rsidRPr="0093575B" w:rsidRDefault="0093575B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  <w:r w:rsidR="00C61D32" w:rsidRPr="0093575B">
              <w:rPr>
                <w:rFonts w:ascii="Times New Roman" w:hAnsi="Times New Roman"/>
                <w:sz w:val="28"/>
                <w:szCs w:val="28"/>
                <w:lang w:val="uk-UA"/>
              </w:rPr>
              <w:t>18,1</w:t>
            </w:r>
          </w:p>
        </w:tc>
        <w:tc>
          <w:tcPr>
            <w:tcW w:w="1559" w:type="dxa"/>
            <w:shd w:val="clear" w:color="auto" w:fill="auto"/>
          </w:tcPr>
          <w:p w:rsidR="00285FB9" w:rsidRPr="0093575B" w:rsidRDefault="0093575B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  <w:r w:rsidR="00C61D32" w:rsidRPr="0093575B">
              <w:rPr>
                <w:rFonts w:ascii="Times New Roman" w:hAnsi="Times New Roman"/>
                <w:sz w:val="28"/>
                <w:szCs w:val="28"/>
                <w:lang w:val="uk-UA"/>
              </w:rPr>
              <w:t>47,8</w:t>
            </w:r>
          </w:p>
        </w:tc>
        <w:tc>
          <w:tcPr>
            <w:tcW w:w="1559" w:type="dxa"/>
            <w:shd w:val="clear" w:color="auto" w:fill="auto"/>
          </w:tcPr>
          <w:p w:rsidR="00285FB9" w:rsidRPr="0093575B" w:rsidRDefault="0093575B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  <w:r w:rsidR="00C61D32" w:rsidRPr="0093575B">
              <w:rPr>
                <w:rFonts w:ascii="Times New Roman" w:hAnsi="Times New Roman"/>
                <w:sz w:val="28"/>
                <w:szCs w:val="28"/>
                <w:lang w:val="uk-UA"/>
              </w:rPr>
              <w:t>77,7</w:t>
            </w:r>
          </w:p>
        </w:tc>
        <w:tc>
          <w:tcPr>
            <w:tcW w:w="1560" w:type="dxa"/>
            <w:shd w:val="clear" w:color="auto" w:fill="auto"/>
          </w:tcPr>
          <w:p w:rsidR="00285FB9" w:rsidRPr="0093575B" w:rsidRDefault="0093575B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  <w:r w:rsidR="00C61D32" w:rsidRPr="0093575B">
              <w:rPr>
                <w:rFonts w:ascii="Times New Roman" w:hAnsi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285FB9" w:rsidRPr="0093575B" w:rsidRDefault="0093575B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 w:rsidR="00C61D32" w:rsidRPr="0093575B">
              <w:rPr>
                <w:rFonts w:ascii="Times New Roman" w:hAnsi="Times New Roman"/>
                <w:sz w:val="28"/>
                <w:szCs w:val="28"/>
                <w:lang w:val="uk-UA"/>
              </w:rPr>
              <w:t>45,1</w:t>
            </w:r>
          </w:p>
        </w:tc>
        <w:tc>
          <w:tcPr>
            <w:tcW w:w="1966" w:type="dxa"/>
            <w:shd w:val="clear" w:color="auto" w:fill="auto"/>
          </w:tcPr>
          <w:p w:rsidR="00285FB9" w:rsidRPr="008514F8" w:rsidRDefault="0093575B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5B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="00C61D32" w:rsidRPr="0093575B"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</w:tr>
      <w:tr w:rsidR="00285FB9" w:rsidRPr="008514F8" w:rsidTr="000D3ACF">
        <w:trPr>
          <w:jc w:val="center"/>
        </w:trPr>
        <w:tc>
          <w:tcPr>
            <w:tcW w:w="1702" w:type="dxa"/>
          </w:tcPr>
          <w:p w:rsidR="00285FB9" w:rsidRPr="008514F8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Напрям 3</w:t>
            </w:r>
          </w:p>
        </w:tc>
        <w:tc>
          <w:tcPr>
            <w:tcW w:w="1984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78" w:type="dxa"/>
          </w:tcPr>
          <w:p w:rsidR="00285FB9" w:rsidRPr="00A80E8B" w:rsidRDefault="00A80E8B" w:rsidP="00A80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E8B">
              <w:rPr>
                <w:rFonts w:ascii="Times New Roman" w:hAnsi="Times New Roman"/>
                <w:sz w:val="28"/>
                <w:szCs w:val="28"/>
                <w:lang w:val="uk-UA"/>
              </w:rPr>
              <w:t>102490</w:t>
            </w:r>
            <w:r w:rsidR="00285FB9" w:rsidRPr="00A80E8B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1559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451885,5</w:t>
            </w:r>
          </w:p>
        </w:tc>
        <w:tc>
          <w:tcPr>
            <w:tcW w:w="1559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358655,7</w:t>
            </w:r>
          </w:p>
        </w:tc>
        <w:tc>
          <w:tcPr>
            <w:tcW w:w="1560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1772877,4</w:t>
            </w:r>
          </w:p>
        </w:tc>
        <w:tc>
          <w:tcPr>
            <w:tcW w:w="1417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246077,6</w:t>
            </w:r>
          </w:p>
        </w:tc>
        <w:tc>
          <w:tcPr>
            <w:tcW w:w="1966" w:type="dxa"/>
          </w:tcPr>
          <w:p w:rsidR="00285FB9" w:rsidRPr="008514F8" w:rsidRDefault="008E63BE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2931986,5</w:t>
            </w:r>
          </w:p>
        </w:tc>
      </w:tr>
      <w:tr w:rsidR="00285FB9" w:rsidRPr="008514F8" w:rsidTr="000D3ACF">
        <w:trPr>
          <w:jc w:val="center"/>
        </w:trPr>
        <w:tc>
          <w:tcPr>
            <w:tcW w:w="1702" w:type="dxa"/>
          </w:tcPr>
          <w:p w:rsidR="00285FB9" w:rsidRPr="008514F8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</w:tcPr>
          <w:p w:rsidR="00285FB9" w:rsidRPr="00A80E8B" w:rsidRDefault="00A80E8B" w:rsidP="00A8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E8B">
              <w:rPr>
                <w:rFonts w:ascii="Times New Roman" w:hAnsi="Times New Roman"/>
                <w:sz w:val="20"/>
                <w:szCs w:val="20"/>
                <w:lang w:val="uk-UA"/>
              </w:rPr>
              <w:t>83100,3</w:t>
            </w:r>
          </w:p>
        </w:tc>
        <w:tc>
          <w:tcPr>
            <w:tcW w:w="1559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432495,5</w:t>
            </w:r>
          </w:p>
        </w:tc>
        <w:tc>
          <w:tcPr>
            <w:tcW w:w="1559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339265,7</w:t>
            </w:r>
          </w:p>
        </w:tc>
        <w:tc>
          <w:tcPr>
            <w:tcW w:w="1560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1753487,4</w:t>
            </w:r>
          </w:p>
        </w:tc>
        <w:tc>
          <w:tcPr>
            <w:tcW w:w="1417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226687,6</w:t>
            </w:r>
          </w:p>
        </w:tc>
        <w:tc>
          <w:tcPr>
            <w:tcW w:w="1966" w:type="dxa"/>
          </w:tcPr>
          <w:p w:rsidR="00285FB9" w:rsidRPr="00A80E8B" w:rsidRDefault="005D04D6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2835036,5</w:t>
            </w:r>
          </w:p>
        </w:tc>
      </w:tr>
      <w:tr w:rsidR="00285FB9" w:rsidRPr="008514F8" w:rsidTr="000D3ACF">
        <w:trPr>
          <w:jc w:val="center"/>
        </w:trPr>
        <w:tc>
          <w:tcPr>
            <w:tcW w:w="1702" w:type="dxa"/>
          </w:tcPr>
          <w:p w:rsidR="00285FB9" w:rsidRPr="008514F8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4F8">
              <w:rPr>
                <w:rFonts w:ascii="Times New Roman" w:hAnsi="Times New Roman"/>
                <w:sz w:val="24"/>
                <w:szCs w:val="24"/>
                <w:lang w:val="uk-UA"/>
              </w:rPr>
              <w:t>бюджети сільських, селищних, міських територіальних громад</w:t>
            </w:r>
          </w:p>
        </w:tc>
        <w:tc>
          <w:tcPr>
            <w:tcW w:w="1578" w:type="dxa"/>
          </w:tcPr>
          <w:p w:rsidR="00285FB9" w:rsidRPr="00A80E8B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E8B">
              <w:rPr>
                <w:rFonts w:ascii="Times New Roman" w:hAnsi="Times New Roman"/>
                <w:sz w:val="20"/>
                <w:szCs w:val="20"/>
                <w:lang w:val="uk-UA"/>
              </w:rPr>
              <w:t>19390,0</w:t>
            </w:r>
          </w:p>
        </w:tc>
        <w:tc>
          <w:tcPr>
            <w:tcW w:w="1559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19390,0</w:t>
            </w:r>
          </w:p>
        </w:tc>
        <w:tc>
          <w:tcPr>
            <w:tcW w:w="1559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19390,0</w:t>
            </w:r>
          </w:p>
        </w:tc>
        <w:tc>
          <w:tcPr>
            <w:tcW w:w="1560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19390,0</w:t>
            </w:r>
          </w:p>
        </w:tc>
        <w:tc>
          <w:tcPr>
            <w:tcW w:w="1417" w:type="dxa"/>
          </w:tcPr>
          <w:p w:rsidR="00285FB9" w:rsidRPr="008514F8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14F8">
              <w:rPr>
                <w:rFonts w:ascii="Times New Roman" w:hAnsi="Times New Roman"/>
                <w:sz w:val="20"/>
                <w:szCs w:val="20"/>
                <w:lang w:val="uk-UA"/>
              </w:rPr>
              <w:t>19390,0</w:t>
            </w:r>
          </w:p>
        </w:tc>
        <w:tc>
          <w:tcPr>
            <w:tcW w:w="1966" w:type="dxa"/>
          </w:tcPr>
          <w:p w:rsidR="00285FB9" w:rsidRPr="00A80E8B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E8B">
              <w:rPr>
                <w:rFonts w:ascii="Times New Roman" w:hAnsi="Times New Roman"/>
                <w:sz w:val="20"/>
                <w:szCs w:val="20"/>
                <w:lang w:val="uk-UA"/>
              </w:rPr>
              <w:t>96950,0</w:t>
            </w:r>
          </w:p>
        </w:tc>
      </w:tr>
      <w:tr w:rsidR="00854AE9" w:rsidRPr="00C86D7F" w:rsidTr="000D3ACF">
        <w:trPr>
          <w:jc w:val="center"/>
        </w:trPr>
        <w:tc>
          <w:tcPr>
            <w:tcW w:w="1702" w:type="dxa"/>
          </w:tcPr>
          <w:p w:rsidR="00854AE9" w:rsidRPr="008514F8" w:rsidRDefault="00854AE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Напрям 4</w:t>
            </w:r>
          </w:p>
        </w:tc>
        <w:tc>
          <w:tcPr>
            <w:tcW w:w="1984" w:type="dxa"/>
          </w:tcPr>
          <w:p w:rsidR="00854AE9" w:rsidRPr="008514F8" w:rsidRDefault="00854AE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</w:tcPr>
          <w:p w:rsidR="00854AE9" w:rsidRPr="008514F8" w:rsidRDefault="00854AE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2815,0</w:t>
            </w:r>
          </w:p>
        </w:tc>
        <w:tc>
          <w:tcPr>
            <w:tcW w:w="1559" w:type="dxa"/>
          </w:tcPr>
          <w:p w:rsidR="00854AE9" w:rsidRPr="008514F8" w:rsidRDefault="00854AE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2815,0</w:t>
            </w:r>
          </w:p>
        </w:tc>
        <w:tc>
          <w:tcPr>
            <w:tcW w:w="1559" w:type="dxa"/>
          </w:tcPr>
          <w:p w:rsidR="00854AE9" w:rsidRPr="008514F8" w:rsidRDefault="00854AE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2815,0</w:t>
            </w:r>
          </w:p>
        </w:tc>
        <w:tc>
          <w:tcPr>
            <w:tcW w:w="1560" w:type="dxa"/>
          </w:tcPr>
          <w:p w:rsidR="00854AE9" w:rsidRPr="008514F8" w:rsidRDefault="00854AE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2815,0</w:t>
            </w:r>
          </w:p>
        </w:tc>
        <w:tc>
          <w:tcPr>
            <w:tcW w:w="1417" w:type="dxa"/>
          </w:tcPr>
          <w:p w:rsidR="00854AE9" w:rsidRPr="008514F8" w:rsidRDefault="00854AE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2815,0</w:t>
            </w:r>
          </w:p>
        </w:tc>
        <w:tc>
          <w:tcPr>
            <w:tcW w:w="1966" w:type="dxa"/>
          </w:tcPr>
          <w:p w:rsidR="00854AE9" w:rsidRPr="00E673DC" w:rsidRDefault="008514F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4F8">
              <w:rPr>
                <w:rFonts w:ascii="Times New Roman" w:hAnsi="Times New Roman"/>
                <w:sz w:val="28"/>
                <w:szCs w:val="28"/>
                <w:lang w:val="uk-UA"/>
              </w:rPr>
              <w:t>14075,0</w:t>
            </w:r>
          </w:p>
        </w:tc>
      </w:tr>
      <w:tr w:rsidR="000D3ACF" w:rsidRPr="00C86D7F" w:rsidTr="000D3ACF">
        <w:trPr>
          <w:jc w:val="center"/>
        </w:trPr>
        <w:tc>
          <w:tcPr>
            <w:tcW w:w="1702" w:type="dxa"/>
          </w:tcPr>
          <w:p w:rsidR="000D3ACF" w:rsidRPr="00E673DC" w:rsidRDefault="000D3ACF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Напрям 5</w:t>
            </w:r>
          </w:p>
        </w:tc>
        <w:tc>
          <w:tcPr>
            <w:tcW w:w="1984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559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559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560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417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380,0</w:t>
            </w:r>
          </w:p>
        </w:tc>
        <w:tc>
          <w:tcPr>
            <w:tcW w:w="1966" w:type="dxa"/>
          </w:tcPr>
          <w:p w:rsidR="000D3ACF" w:rsidRPr="00E673DC" w:rsidRDefault="000D3ACF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1900,0</w:t>
            </w:r>
          </w:p>
        </w:tc>
      </w:tr>
      <w:tr w:rsidR="00D73A18" w:rsidRPr="00D73A18" w:rsidTr="00D73A18">
        <w:trPr>
          <w:jc w:val="center"/>
        </w:trPr>
        <w:tc>
          <w:tcPr>
            <w:tcW w:w="1702" w:type="dxa"/>
          </w:tcPr>
          <w:p w:rsidR="00D73A18" w:rsidRPr="00D73A18" w:rsidRDefault="00D73A18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uk-UA"/>
              </w:rPr>
              <w:t>Напрям 6</w:t>
            </w:r>
          </w:p>
        </w:tc>
        <w:tc>
          <w:tcPr>
            <w:tcW w:w="1984" w:type="dxa"/>
          </w:tcPr>
          <w:p w:rsidR="00D73A18" w:rsidRPr="00D73A18" w:rsidRDefault="00D73A1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</w:tcPr>
          <w:p w:rsidR="00D73A18" w:rsidRPr="00D73A18" w:rsidRDefault="00D73A1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ru-RU"/>
              </w:rPr>
              <w:t>2033,5</w:t>
            </w:r>
          </w:p>
        </w:tc>
        <w:tc>
          <w:tcPr>
            <w:tcW w:w="1559" w:type="dxa"/>
          </w:tcPr>
          <w:p w:rsidR="00D73A18" w:rsidRPr="00D73A18" w:rsidRDefault="00D73A1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ru-RU"/>
              </w:rPr>
              <w:t>2033,5</w:t>
            </w:r>
          </w:p>
        </w:tc>
        <w:tc>
          <w:tcPr>
            <w:tcW w:w="1559" w:type="dxa"/>
          </w:tcPr>
          <w:p w:rsidR="00D73A18" w:rsidRPr="00D73A18" w:rsidRDefault="00D73A1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ru-RU"/>
              </w:rPr>
              <w:t>2033,5</w:t>
            </w:r>
          </w:p>
        </w:tc>
        <w:tc>
          <w:tcPr>
            <w:tcW w:w="1560" w:type="dxa"/>
          </w:tcPr>
          <w:p w:rsidR="00D73A18" w:rsidRPr="00D73A18" w:rsidRDefault="00D73A1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ru-RU"/>
              </w:rPr>
              <w:t>2033,5</w:t>
            </w:r>
          </w:p>
        </w:tc>
        <w:tc>
          <w:tcPr>
            <w:tcW w:w="1417" w:type="dxa"/>
          </w:tcPr>
          <w:p w:rsidR="00D73A18" w:rsidRPr="00D73A18" w:rsidRDefault="00D73A1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A18">
              <w:rPr>
                <w:rFonts w:ascii="Times New Roman" w:hAnsi="Times New Roman"/>
                <w:sz w:val="28"/>
                <w:szCs w:val="28"/>
                <w:lang w:val="ru-RU"/>
              </w:rPr>
              <w:t>2033,5</w:t>
            </w:r>
          </w:p>
        </w:tc>
        <w:tc>
          <w:tcPr>
            <w:tcW w:w="1966" w:type="dxa"/>
          </w:tcPr>
          <w:p w:rsidR="00D73A18" w:rsidRPr="00D73A18" w:rsidRDefault="008514F8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10167</w:t>
            </w:r>
            <w:r w:rsidR="00D73A18" w:rsidRPr="00D73A18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</w:tr>
      <w:tr w:rsidR="00285FB9" w:rsidRPr="00E673DC" w:rsidTr="000D3ACF">
        <w:trPr>
          <w:jc w:val="center"/>
        </w:trPr>
        <w:tc>
          <w:tcPr>
            <w:tcW w:w="1702" w:type="dxa"/>
          </w:tcPr>
          <w:p w:rsidR="00285FB9" w:rsidRPr="00E673DC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:rsidR="00285FB9" w:rsidRPr="00E673DC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напрям 1-6</w:t>
            </w:r>
          </w:p>
        </w:tc>
        <w:tc>
          <w:tcPr>
            <w:tcW w:w="1984" w:type="dxa"/>
          </w:tcPr>
          <w:p w:rsidR="00285FB9" w:rsidRPr="00F810B4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0B4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78" w:type="dxa"/>
          </w:tcPr>
          <w:p w:rsidR="00285FB9" w:rsidRPr="005D04D6" w:rsidRDefault="00E2195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113172,6</w:t>
            </w:r>
          </w:p>
        </w:tc>
        <w:tc>
          <w:tcPr>
            <w:tcW w:w="1559" w:type="dxa"/>
          </w:tcPr>
          <w:p w:rsidR="00285FB9" w:rsidRPr="005D04D6" w:rsidRDefault="00E2195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463704,0</w:t>
            </w:r>
          </w:p>
        </w:tc>
        <w:tc>
          <w:tcPr>
            <w:tcW w:w="1559" w:type="dxa"/>
          </w:tcPr>
          <w:p w:rsidR="00285FB9" w:rsidRPr="005D04D6" w:rsidRDefault="00D73E4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371800,8</w:t>
            </w:r>
          </w:p>
        </w:tc>
        <w:tc>
          <w:tcPr>
            <w:tcW w:w="1560" w:type="dxa"/>
          </w:tcPr>
          <w:p w:rsidR="00285FB9" w:rsidRPr="005D04D6" w:rsidRDefault="00D73E4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1787553,8</w:t>
            </w:r>
          </w:p>
        </w:tc>
        <w:tc>
          <w:tcPr>
            <w:tcW w:w="1417" w:type="dxa"/>
          </w:tcPr>
          <w:p w:rsidR="00285FB9" w:rsidRPr="005D04D6" w:rsidRDefault="00D73E4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262696,4</w:t>
            </w:r>
          </w:p>
          <w:p w:rsidR="00285FB9" w:rsidRPr="005D04D6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</w:tcPr>
          <w:p w:rsidR="00285FB9" w:rsidRPr="005D04D6" w:rsidRDefault="005D04D6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2998927,6</w:t>
            </w:r>
          </w:p>
        </w:tc>
      </w:tr>
      <w:tr w:rsidR="00285FB9" w:rsidRPr="00E673DC" w:rsidTr="000D3ACF">
        <w:trPr>
          <w:jc w:val="center"/>
        </w:trPr>
        <w:tc>
          <w:tcPr>
            <w:tcW w:w="1702" w:type="dxa"/>
          </w:tcPr>
          <w:p w:rsidR="00285FB9" w:rsidRPr="00E673DC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:rsidR="00285FB9" w:rsidRPr="00E673DC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напрям 1-6</w:t>
            </w:r>
          </w:p>
        </w:tc>
        <w:tc>
          <w:tcPr>
            <w:tcW w:w="1984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3DC">
              <w:rPr>
                <w:rFonts w:ascii="Times New Roman" w:hAnsi="Times New Roman"/>
                <w:sz w:val="24"/>
                <w:szCs w:val="24"/>
                <w:lang w:val="uk-UA"/>
              </w:rPr>
              <w:t>бюджети сільських, селищних, міських територіальних громад</w:t>
            </w:r>
          </w:p>
        </w:tc>
        <w:tc>
          <w:tcPr>
            <w:tcW w:w="1578" w:type="dxa"/>
          </w:tcPr>
          <w:p w:rsidR="00285FB9" w:rsidRPr="005D04D6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19390,0</w:t>
            </w:r>
          </w:p>
        </w:tc>
        <w:tc>
          <w:tcPr>
            <w:tcW w:w="1559" w:type="dxa"/>
          </w:tcPr>
          <w:p w:rsidR="00285FB9" w:rsidRPr="005D04D6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19390,0</w:t>
            </w:r>
          </w:p>
        </w:tc>
        <w:tc>
          <w:tcPr>
            <w:tcW w:w="1559" w:type="dxa"/>
          </w:tcPr>
          <w:p w:rsidR="00285FB9" w:rsidRPr="005D04D6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19390,0</w:t>
            </w:r>
          </w:p>
        </w:tc>
        <w:tc>
          <w:tcPr>
            <w:tcW w:w="1560" w:type="dxa"/>
          </w:tcPr>
          <w:p w:rsidR="00285FB9" w:rsidRPr="005D04D6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19390,0</w:t>
            </w:r>
          </w:p>
        </w:tc>
        <w:tc>
          <w:tcPr>
            <w:tcW w:w="1417" w:type="dxa"/>
          </w:tcPr>
          <w:p w:rsidR="00285FB9" w:rsidRPr="005D04D6" w:rsidRDefault="00E2195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19390,0</w:t>
            </w:r>
          </w:p>
        </w:tc>
        <w:tc>
          <w:tcPr>
            <w:tcW w:w="1966" w:type="dxa"/>
          </w:tcPr>
          <w:p w:rsidR="00285FB9" w:rsidRPr="005D04D6" w:rsidRDefault="00E2195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96950,0</w:t>
            </w:r>
          </w:p>
        </w:tc>
      </w:tr>
      <w:tr w:rsidR="00285FB9" w:rsidRPr="00E673DC" w:rsidTr="000D3ACF">
        <w:trPr>
          <w:jc w:val="center"/>
        </w:trPr>
        <w:tc>
          <w:tcPr>
            <w:tcW w:w="1702" w:type="dxa"/>
          </w:tcPr>
          <w:p w:rsidR="00285FB9" w:rsidRPr="00E673DC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:rsidR="00285FB9" w:rsidRPr="00E673DC" w:rsidRDefault="00285FB9" w:rsidP="00E6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3DC">
              <w:rPr>
                <w:rFonts w:ascii="Times New Roman" w:hAnsi="Times New Roman"/>
                <w:sz w:val="28"/>
                <w:szCs w:val="28"/>
                <w:lang w:val="uk-UA"/>
              </w:rPr>
              <w:t>напрям 1-6</w:t>
            </w:r>
          </w:p>
        </w:tc>
        <w:tc>
          <w:tcPr>
            <w:tcW w:w="1984" w:type="dxa"/>
          </w:tcPr>
          <w:p w:rsidR="00285FB9" w:rsidRPr="00E673DC" w:rsidRDefault="00285FB9" w:rsidP="00E6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3DC">
              <w:rPr>
                <w:rFonts w:ascii="Times New Roman" w:hAnsi="Times New Roman"/>
                <w:sz w:val="24"/>
                <w:szCs w:val="24"/>
                <w:lang w:val="uk-UA"/>
              </w:rPr>
              <w:t>усі бюджети</w:t>
            </w:r>
          </w:p>
        </w:tc>
        <w:tc>
          <w:tcPr>
            <w:tcW w:w="1578" w:type="dxa"/>
          </w:tcPr>
          <w:p w:rsidR="00285FB9" w:rsidRPr="005D04D6" w:rsidRDefault="00E2195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132562,6</w:t>
            </w:r>
          </w:p>
        </w:tc>
        <w:tc>
          <w:tcPr>
            <w:tcW w:w="1559" w:type="dxa"/>
          </w:tcPr>
          <w:p w:rsidR="00285FB9" w:rsidRPr="005D04D6" w:rsidRDefault="00E2195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483094,0</w:t>
            </w:r>
          </w:p>
        </w:tc>
        <w:tc>
          <w:tcPr>
            <w:tcW w:w="1559" w:type="dxa"/>
          </w:tcPr>
          <w:p w:rsidR="00285FB9" w:rsidRPr="005D04D6" w:rsidRDefault="00D73E4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391190,8</w:t>
            </w:r>
          </w:p>
        </w:tc>
        <w:tc>
          <w:tcPr>
            <w:tcW w:w="1560" w:type="dxa"/>
          </w:tcPr>
          <w:p w:rsidR="00285FB9" w:rsidRPr="005D04D6" w:rsidRDefault="00D73E4D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1806943,8</w:t>
            </w:r>
          </w:p>
        </w:tc>
        <w:tc>
          <w:tcPr>
            <w:tcW w:w="1417" w:type="dxa"/>
          </w:tcPr>
          <w:p w:rsidR="00285FB9" w:rsidRPr="005D04D6" w:rsidRDefault="008E63BE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282086,4</w:t>
            </w:r>
          </w:p>
        </w:tc>
        <w:tc>
          <w:tcPr>
            <w:tcW w:w="1966" w:type="dxa"/>
          </w:tcPr>
          <w:p w:rsidR="00285FB9" w:rsidRPr="005D04D6" w:rsidRDefault="005D04D6" w:rsidP="00E6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3095877,6</w:t>
            </w:r>
          </w:p>
        </w:tc>
      </w:tr>
    </w:tbl>
    <w:p w:rsidR="00285FB9" w:rsidRDefault="00285FB9" w:rsidP="004F264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285FB9" w:rsidSect="00173CCE">
      <w:pgSz w:w="15840" w:h="12240" w:orient="landscape"/>
      <w:pgMar w:top="540" w:right="1134" w:bottom="719" w:left="1134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23" w:rsidRDefault="00F23023">
      <w:pPr>
        <w:spacing w:after="0" w:line="240" w:lineRule="auto"/>
      </w:pPr>
      <w:r>
        <w:separator/>
      </w:r>
    </w:p>
  </w:endnote>
  <w:endnote w:type="continuationSeparator" w:id="0">
    <w:p w:rsidR="00F23023" w:rsidRDefault="00F2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Default="00E219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Default="00E219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Default="00E21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23" w:rsidRDefault="00F23023">
      <w:pPr>
        <w:spacing w:after="0" w:line="240" w:lineRule="auto"/>
      </w:pPr>
      <w:r>
        <w:separator/>
      </w:r>
    </w:p>
  </w:footnote>
  <w:footnote w:type="continuationSeparator" w:id="0">
    <w:p w:rsidR="00F23023" w:rsidRDefault="00F2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Default="00E2195D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Default="00E2195D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:rsidR="00E2195D" w:rsidRDefault="00E219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Pr="005A0ACC" w:rsidRDefault="00E2195D" w:rsidP="00B235C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Pr="005A0ACC" w:rsidRDefault="00E2195D" w:rsidP="00B235C0">
    <w:pPr>
      <w:pStyle w:val="a3"/>
      <w:jc w:val="center"/>
      <w:rPr>
        <w:rFonts w:ascii="Times New Roman" w:hAnsi="Times New Roman"/>
        <w:sz w:val="28"/>
        <w:szCs w:val="28"/>
      </w:rPr>
    </w:pPr>
    <w:r w:rsidRPr="005A0ACC">
      <w:rPr>
        <w:rFonts w:ascii="Times New Roman" w:hAnsi="Times New Roman"/>
        <w:sz w:val="28"/>
        <w:szCs w:val="28"/>
      </w:rPr>
      <w:fldChar w:fldCharType="begin"/>
    </w:r>
    <w:r w:rsidRPr="005A0ACC">
      <w:rPr>
        <w:rFonts w:ascii="Times New Roman" w:hAnsi="Times New Roman"/>
        <w:sz w:val="28"/>
        <w:szCs w:val="28"/>
      </w:rPr>
      <w:instrText xml:space="preserve"> PAGE </w:instrText>
    </w:r>
    <w:r w:rsidRPr="005A0AC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</w:t>
    </w:r>
    <w:r w:rsidRPr="005A0ACC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Pr="008E7590" w:rsidRDefault="00E2195D" w:rsidP="00B235C0">
    <w:pPr>
      <w:pStyle w:val="a3"/>
      <w:jc w:val="center"/>
      <w:rPr>
        <w:rFonts w:ascii="Times New Roman" w:hAnsi="Times New Roman"/>
      </w:rPr>
    </w:pPr>
    <w:r w:rsidRPr="005A0ACC">
      <w:rPr>
        <w:rFonts w:ascii="Times New Roman" w:hAnsi="Times New Roman"/>
        <w:sz w:val="28"/>
        <w:szCs w:val="28"/>
      </w:rPr>
      <w:fldChar w:fldCharType="begin"/>
    </w:r>
    <w:r w:rsidRPr="005A0ACC">
      <w:rPr>
        <w:rFonts w:ascii="Times New Roman" w:hAnsi="Times New Roman"/>
        <w:sz w:val="28"/>
        <w:szCs w:val="28"/>
      </w:rPr>
      <w:instrText xml:space="preserve"> PAGE </w:instrText>
    </w:r>
    <w:r w:rsidRPr="005A0ACC">
      <w:rPr>
        <w:rFonts w:ascii="Times New Roman" w:hAnsi="Times New Roman"/>
        <w:sz w:val="28"/>
        <w:szCs w:val="28"/>
      </w:rPr>
      <w:fldChar w:fldCharType="separate"/>
    </w:r>
    <w:r w:rsidR="00B5740F">
      <w:rPr>
        <w:rFonts w:ascii="Times New Roman" w:hAnsi="Times New Roman"/>
        <w:noProof/>
        <w:sz w:val="28"/>
        <w:szCs w:val="28"/>
      </w:rPr>
      <w:t>32</w:t>
    </w:r>
    <w:r w:rsidRPr="005A0ACC">
      <w:rPr>
        <w:rFonts w:ascii="Times New Roman" w:hAnsi="Times New Roman"/>
        <w:sz w:val="28"/>
        <w:szCs w:val="28"/>
      </w:rPr>
      <w:fldChar w:fldCharType="end"/>
    </w:r>
  </w:p>
  <w:p w:rsidR="00E2195D" w:rsidRPr="008E7590" w:rsidRDefault="00E2195D" w:rsidP="00B235C0">
    <w:pPr>
      <w:pStyle w:val="a3"/>
      <w:jc w:val="cent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5D" w:rsidRDefault="00E21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1D4"/>
    <w:rsid w:val="000043A0"/>
    <w:rsid w:val="00010343"/>
    <w:rsid w:val="00017389"/>
    <w:rsid w:val="00046E8F"/>
    <w:rsid w:val="0005566A"/>
    <w:rsid w:val="000560D9"/>
    <w:rsid w:val="00061DE2"/>
    <w:rsid w:val="00064A24"/>
    <w:rsid w:val="00077C81"/>
    <w:rsid w:val="00092928"/>
    <w:rsid w:val="000C0CDF"/>
    <w:rsid w:val="000D3ACF"/>
    <w:rsid w:val="000D4F88"/>
    <w:rsid w:val="000D6F90"/>
    <w:rsid w:val="000E026F"/>
    <w:rsid w:val="000F372C"/>
    <w:rsid w:val="00123604"/>
    <w:rsid w:val="00140FD7"/>
    <w:rsid w:val="00144C4C"/>
    <w:rsid w:val="0017038A"/>
    <w:rsid w:val="00173CCE"/>
    <w:rsid w:val="00185D56"/>
    <w:rsid w:val="001A1E2A"/>
    <w:rsid w:val="001A5D5E"/>
    <w:rsid w:val="001C7FAD"/>
    <w:rsid w:val="001D19A0"/>
    <w:rsid w:val="001D50F4"/>
    <w:rsid w:val="00212AF6"/>
    <w:rsid w:val="00220079"/>
    <w:rsid w:val="00245FB1"/>
    <w:rsid w:val="00253C3A"/>
    <w:rsid w:val="002605A0"/>
    <w:rsid w:val="00285FB9"/>
    <w:rsid w:val="002955BA"/>
    <w:rsid w:val="003075F8"/>
    <w:rsid w:val="00321F1B"/>
    <w:rsid w:val="00350B29"/>
    <w:rsid w:val="003565B0"/>
    <w:rsid w:val="00381D93"/>
    <w:rsid w:val="003A62CC"/>
    <w:rsid w:val="003C31FF"/>
    <w:rsid w:val="003D07E2"/>
    <w:rsid w:val="003F3D87"/>
    <w:rsid w:val="004040AD"/>
    <w:rsid w:val="0040410B"/>
    <w:rsid w:val="00430A35"/>
    <w:rsid w:val="004324BF"/>
    <w:rsid w:val="00433A3A"/>
    <w:rsid w:val="00434689"/>
    <w:rsid w:val="00447F59"/>
    <w:rsid w:val="00455DA8"/>
    <w:rsid w:val="00467CB3"/>
    <w:rsid w:val="004710FF"/>
    <w:rsid w:val="00476F2F"/>
    <w:rsid w:val="004818D5"/>
    <w:rsid w:val="00485594"/>
    <w:rsid w:val="00491065"/>
    <w:rsid w:val="004A0C20"/>
    <w:rsid w:val="004D1627"/>
    <w:rsid w:val="004D5488"/>
    <w:rsid w:val="004E6A57"/>
    <w:rsid w:val="004F264C"/>
    <w:rsid w:val="00503D2C"/>
    <w:rsid w:val="0051713B"/>
    <w:rsid w:val="0052056D"/>
    <w:rsid w:val="005208EA"/>
    <w:rsid w:val="00532B96"/>
    <w:rsid w:val="005335ED"/>
    <w:rsid w:val="00537EC4"/>
    <w:rsid w:val="00553FE5"/>
    <w:rsid w:val="00554209"/>
    <w:rsid w:val="005629D6"/>
    <w:rsid w:val="00580A45"/>
    <w:rsid w:val="00586A84"/>
    <w:rsid w:val="00586CED"/>
    <w:rsid w:val="005971CA"/>
    <w:rsid w:val="005A0ACC"/>
    <w:rsid w:val="005A5EC3"/>
    <w:rsid w:val="005B6A42"/>
    <w:rsid w:val="005B6B27"/>
    <w:rsid w:val="005C62B7"/>
    <w:rsid w:val="005C6882"/>
    <w:rsid w:val="005D04D6"/>
    <w:rsid w:val="005E39A3"/>
    <w:rsid w:val="00610512"/>
    <w:rsid w:val="00617509"/>
    <w:rsid w:val="0062379E"/>
    <w:rsid w:val="00627D05"/>
    <w:rsid w:val="00632978"/>
    <w:rsid w:val="006341E4"/>
    <w:rsid w:val="006555FC"/>
    <w:rsid w:val="00657545"/>
    <w:rsid w:val="00666486"/>
    <w:rsid w:val="00667BE0"/>
    <w:rsid w:val="006842FC"/>
    <w:rsid w:val="006900F1"/>
    <w:rsid w:val="006A4C12"/>
    <w:rsid w:val="006A4DF3"/>
    <w:rsid w:val="006A5BC9"/>
    <w:rsid w:val="006B1F09"/>
    <w:rsid w:val="006D7AFB"/>
    <w:rsid w:val="006E0C3D"/>
    <w:rsid w:val="006E28D9"/>
    <w:rsid w:val="006E4B3D"/>
    <w:rsid w:val="006E536C"/>
    <w:rsid w:val="007307FE"/>
    <w:rsid w:val="007366A9"/>
    <w:rsid w:val="00786CE3"/>
    <w:rsid w:val="007A1431"/>
    <w:rsid w:val="007C5EA8"/>
    <w:rsid w:val="007C7009"/>
    <w:rsid w:val="007D2CE8"/>
    <w:rsid w:val="007D3B11"/>
    <w:rsid w:val="007F1244"/>
    <w:rsid w:val="007F4865"/>
    <w:rsid w:val="00812B34"/>
    <w:rsid w:val="00817867"/>
    <w:rsid w:val="008514F8"/>
    <w:rsid w:val="00854AE9"/>
    <w:rsid w:val="0086139B"/>
    <w:rsid w:val="00864783"/>
    <w:rsid w:val="008650ED"/>
    <w:rsid w:val="00866A48"/>
    <w:rsid w:val="0087318A"/>
    <w:rsid w:val="00882A6D"/>
    <w:rsid w:val="008830B6"/>
    <w:rsid w:val="0089151C"/>
    <w:rsid w:val="008B66B8"/>
    <w:rsid w:val="008C3DA0"/>
    <w:rsid w:val="008C6ABA"/>
    <w:rsid w:val="008E3C6F"/>
    <w:rsid w:val="008E63BE"/>
    <w:rsid w:val="008E7590"/>
    <w:rsid w:val="008F2B1B"/>
    <w:rsid w:val="0091227F"/>
    <w:rsid w:val="00917390"/>
    <w:rsid w:val="0093575B"/>
    <w:rsid w:val="009850E7"/>
    <w:rsid w:val="00991CC0"/>
    <w:rsid w:val="00992FA1"/>
    <w:rsid w:val="00993813"/>
    <w:rsid w:val="009C0CBA"/>
    <w:rsid w:val="009D396F"/>
    <w:rsid w:val="009F0BC5"/>
    <w:rsid w:val="00A01256"/>
    <w:rsid w:val="00A05A24"/>
    <w:rsid w:val="00A117C3"/>
    <w:rsid w:val="00A636F7"/>
    <w:rsid w:val="00A76BF0"/>
    <w:rsid w:val="00A775F3"/>
    <w:rsid w:val="00A80E8B"/>
    <w:rsid w:val="00A827D8"/>
    <w:rsid w:val="00A91D70"/>
    <w:rsid w:val="00AA2C92"/>
    <w:rsid w:val="00AB43D1"/>
    <w:rsid w:val="00AD0463"/>
    <w:rsid w:val="00AD22B8"/>
    <w:rsid w:val="00B071BB"/>
    <w:rsid w:val="00B235C0"/>
    <w:rsid w:val="00B35BDA"/>
    <w:rsid w:val="00B5025F"/>
    <w:rsid w:val="00B5740F"/>
    <w:rsid w:val="00B6771E"/>
    <w:rsid w:val="00B739E9"/>
    <w:rsid w:val="00B80F85"/>
    <w:rsid w:val="00B924DC"/>
    <w:rsid w:val="00BD0290"/>
    <w:rsid w:val="00BF2CCC"/>
    <w:rsid w:val="00C20836"/>
    <w:rsid w:val="00C2123F"/>
    <w:rsid w:val="00C30E7B"/>
    <w:rsid w:val="00C33776"/>
    <w:rsid w:val="00C371CA"/>
    <w:rsid w:val="00C464A5"/>
    <w:rsid w:val="00C508F5"/>
    <w:rsid w:val="00C55DB0"/>
    <w:rsid w:val="00C61D32"/>
    <w:rsid w:val="00C62615"/>
    <w:rsid w:val="00C75545"/>
    <w:rsid w:val="00C8319C"/>
    <w:rsid w:val="00C86D7F"/>
    <w:rsid w:val="00C901A5"/>
    <w:rsid w:val="00C955E5"/>
    <w:rsid w:val="00CB660B"/>
    <w:rsid w:val="00CB7A37"/>
    <w:rsid w:val="00CF7061"/>
    <w:rsid w:val="00D03ABF"/>
    <w:rsid w:val="00D115E4"/>
    <w:rsid w:val="00D169FD"/>
    <w:rsid w:val="00D26267"/>
    <w:rsid w:val="00D33389"/>
    <w:rsid w:val="00D360EA"/>
    <w:rsid w:val="00D46F6B"/>
    <w:rsid w:val="00D536AB"/>
    <w:rsid w:val="00D549C8"/>
    <w:rsid w:val="00D73A18"/>
    <w:rsid w:val="00D73E4D"/>
    <w:rsid w:val="00D9634F"/>
    <w:rsid w:val="00DC0867"/>
    <w:rsid w:val="00DE11D4"/>
    <w:rsid w:val="00DF2EEB"/>
    <w:rsid w:val="00DF477A"/>
    <w:rsid w:val="00E1300D"/>
    <w:rsid w:val="00E16756"/>
    <w:rsid w:val="00E20A75"/>
    <w:rsid w:val="00E2195D"/>
    <w:rsid w:val="00E40163"/>
    <w:rsid w:val="00E55EFC"/>
    <w:rsid w:val="00E6364E"/>
    <w:rsid w:val="00E6540B"/>
    <w:rsid w:val="00E673DC"/>
    <w:rsid w:val="00E77B1B"/>
    <w:rsid w:val="00E978CF"/>
    <w:rsid w:val="00EB1B03"/>
    <w:rsid w:val="00EC3236"/>
    <w:rsid w:val="00ED133C"/>
    <w:rsid w:val="00EF170F"/>
    <w:rsid w:val="00F05CDB"/>
    <w:rsid w:val="00F20268"/>
    <w:rsid w:val="00F23023"/>
    <w:rsid w:val="00F310DA"/>
    <w:rsid w:val="00F72493"/>
    <w:rsid w:val="00F810B4"/>
    <w:rsid w:val="00F839CD"/>
    <w:rsid w:val="00FA6D0B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7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324BF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a3">
    <w:name w:val="header"/>
    <w:basedOn w:val="a"/>
    <w:link w:val="a4"/>
    <w:uiPriority w:val="99"/>
    <w:semiHidden/>
    <w:rsid w:val="00491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91065"/>
    <w:rPr>
      <w:rFonts w:cs="Times New Roman"/>
    </w:rPr>
  </w:style>
  <w:style w:type="character" w:styleId="a5">
    <w:name w:val="annotation reference"/>
    <w:uiPriority w:val="99"/>
    <w:semiHidden/>
    <w:rsid w:val="00CB660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B66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B660B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B660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B660B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B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CB660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58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C70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C70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607-2013-&#1087;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t.gov.ua/documents/5532016-209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702F-DBAF-4FFB-9384-91CEB20A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33</Pages>
  <Words>33200</Words>
  <Characters>18924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Татьяна</dc:creator>
  <cp:keywords/>
  <dc:description/>
  <cp:lastModifiedBy>USER</cp:lastModifiedBy>
  <cp:revision>31</cp:revision>
  <cp:lastPrinted>2024-02-13T07:15:00Z</cp:lastPrinted>
  <dcterms:created xsi:type="dcterms:W3CDTF">2024-02-09T11:42:00Z</dcterms:created>
  <dcterms:modified xsi:type="dcterms:W3CDTF">2024-02-13T07:59:00Z</dcterms:modified>
</cp:coreProperties>
</file>